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DBFE" w14:textId="77777777" w:rsidR="004409F7" w:rsidRPr="00B12CB9" w:rsidRDefault="00B2214F" w:rsidP="00B12CB9">
      <w:pPr>
        <w:pStyle w:val="a7"/>
        <w:spacing w:before="0" w:beforeAutospacing="0" w:after="200" w:afterAutospacing="0" w:line="276" w:lineRule="auto"/>
        <w:ind w:left="-567" w:right="-284"/>
        <w:jc w:val="both"/>
        <w:rPr>
          <w:rFonts w:ascii="Noto Sans" w:hAnsi="Noto Sans" w:cs="Noto Sans"/>
          <w:b/>
          <w:sz w:val="22"/>
          <w:szCs w:val="22"/>
          <w:lang w:val="en-US"/>
        </w:rPr>
      </w:pPr>
      <w:r w:rsidRPr="00B12CB9">
        <w:rPr>
          <w:rFonts w:ascii="Noto Sans" w:hAnsi="Noto Sans" w:cs="Noto Sans"/>
          <w:b/>
          <w:sz w:val="22"/>
          <w:szCs w:val="22"/>
          <w:lang w:val="en"/>
        </w:rPr>
        <w:t>About NIZHPHARM</w:t>
      </w:r>
    </w:p>
    <w:p w14:paraId="70806853" w14:textId="77777777" w:rsidR="00155979" w:rsidRPr="00B12CB9" w:rsidRDefault="00B2214F" w:rsidP="00B12CB9">
      <w:pPr>
        <w:pStyle w:val="a7"/>
        <w:spacing w:before="0" w:beforeAutospacing="0" w:after="200" w:afterAutospacing="0" w:line="276" w:lineRule="auto"/>
        <w:ind w:left="-567" w:right="-284"/>
        <w:jc w:val="both"/>
        <w:rPr>
          <w:rFonts w:ascii="Noto Sans" w:hAnsi="Noto Sans" w:cs="Noto Sans"/>
          <w:sz w:val="22"/>
          <w:szCs w:val="22"/>
          <w:lang w:val="en-US"/>
        </w:rPr>
      </w:pPr>
      <w:r w:rsidRPr="00B12CB9">
        <w:rPr>
          <w:rFonts w:ascii="Noto Sans" w:hAnsi="Noto Sans" w:cs="Noto Sans"/>
          <w:b/>
          <w:sz w:val="22"/>
          <w:szCs w:val="22"/>
          <w:lang w:val="en"/>
        </w:rPr>
        <w:t xml:space="preserve">Nizhny Novgorod Chemical and Pharmaceutical Plant, shortly as </w:t>
      </w:r>
      <w:proofErr w:type="spellStart"/>
      <w:r w:rsidRPr="00B12CB9">
        <w:rPr>
          <w:rFonts w:ascii="Noto Sans" w:hAnsi="Noto Sans" w:cs="Noto Sans"/>
          <w:b/>
          <w:sz w:val="22"/>
          <w:szCs w:val="22"/>
          <w:lang w:val="en"/>
        </w:rPr>
        <w:t>Nizhpharm</w:t>
      </w:r>
      <w:proofErr w:type="spellEnd"/>
      <w:r w:rsidR="004409F7" w:rsidRPr="00B12CB9">
        <w:rPr>
          <w:rFonts w:ascii="Noto Sans" w:hAnsi="Noto Sans" w:cs="Noto Sans"/>
          <w:sz w:val="22"/>
          <w:szCs w:val="22"/>
          <w:lang w:val="en"/>
        </w:rPr>
        <w:t>, is a production site of STADA international pharmaceutical group.</w:t>
      </w:r>
    </w:p>
    <w:p w14:paraId="092F3C2E" w14:textId="77777777" w:rsidR="004409F7" w:rsidRPr="00B12CB9" w:rsidRDefault="00B2214F" w:rsidP="00B12CB9">
      <w:pPr>
        <w:pStyle w:val="a7"/>
        <w:spacing w:before="0" w:beforeAutospacing="0" w:after="200" w:afterAutospacing="0" w:line="276" w:lineRule="auto"/>
        <w:ind w:left="-567" w:right="-284"/>
        <w:jc w:val="both"/>
        <w:rPr>
          <w:rFonts w:ascii="Noto Sans" w:hAnsi="Noto Sans" w:cs="Noto Sans"/>
          <w:sz w:val="22"/>
          <w:szCs w:val="22"/>
          <w:lang w:val="en-US"/>
        </w:rPr>
      </w:pPr>
      <w:bookmarkStart w:id="0" w:name="_Hlk75437453"/>
      <w:r w:rsidRPr="00B12CB9">
        <w:rPr>
          <w:rFonts w:ascii="Noto Sans" w:hAnsi="Noto Sans" w:cs="Noto Sans"/>
          <w:bCs/>
          <w:sz w:val="22"/>
          <w:szCs w:val="22"/>
          <w:lang w:val="en"/>
        </w:rPr>
        <w:t xml:space="preserve">STADA has more than 125-year history and acts in accordance with its purpose "Caring for people’s health as a trusted partner". </w:t>
      </w:r>
    </w:p>
    <w:bookmarkEnd w:id="0"/>
    <w:p w14:paraId="74246648" w14:textId="77777777" w:rsidR="00937A6D" w:rsidRPr="00B12CB9" w:rsidRDefault="00B2214F" w:rsidP="00B12CB9">
      <w:pPr>
        <w:pStyle w:val="a7"/>
        <w:spacing w:line="276" w:lineRule="auto"/>
        <w:ind w:left="-567" w:right="-284"/>
        <w:jc w:val="both"/>
        <w:rPr>
          <w:rFonts w:ascii="Noto Sans" w:hAnsi="Noto Sans" w:cs="Noto Sans"/>
          <w:sz w:val="22"/>
          <w:szCs w:val="22"/>
          <w:lang w:val="en-US"/>
        </w:rPr>
      </w:pPr>
      <w:r w:rsidRPr="00B12CB9">
        <w:rPr>
          <w:rFonts w:ascii="Noto Sans" w:hAnsi="Noto Sans" w:cs="Noto Sans"/>
          <w:sz w:val="22"/>
          <w:szCs w:val="22"/>
          <w:lang w:val="en"/>
        </w:rPr>
        <w:t xml:space="preserve">STADA focuses on the internationalization of its production and business, while remaining a local market player in each region. Today, STADA has one of the deepest </w:t>
      </w:r>
      <w:r w:rsidRPr="00B12CB9">
        <w:rPr>
          <w:rFonts w:ascii="Noto Sans" w:hAnsi="Noto Sans" w:cs="Noto Sans"/>
          <w:b/>
          <w:bCs/>
          <w:sz w:val="22"/>
          <w:szCs w:val="22"/>
          <w:lang w:val="en"/>
        </w:rPr>
        <w:t xml:space="preserve">levels of localization – more than </w:t>
      </w:r>
      <w:proofErr w:type="gramStart"/>
      <w:r w:rsidRPr="00B12CB9">
        <w:rPr>
          <w:rFonts w:ascii="Noto Sans" w:hAnsi="Noto Sans" w:cs="Noto Sans"/>
          <w:b/>
          <w:bCs/>
          <w:sz w:val="22"/>
          <w:szCs w:val="22"/>
          <w:lang w:val="en"/>
        </w:rPr>
        <w:t>65%,</w:t>
      </w:r>
      <w:r w:rsidRPr="00B12CB9">
        <w:rPr>
          <w:rFonts w:ascii="Noto Sans" w:hAnsi="Noto Sans" w:cs="Noto Sans"/>
          <w:sz w:val="22"/>
          <w:szCs w:val="22"/>
          <w:lang w:val="en"/>
        </w:rPr>
        <w:t xml:space="preserve"> and</w:t>
      </w:r>
      <w:proofErr w:type="gramEnd"/>
      <w:r w:rsidRPr="00B12CB9">
        <w:rPr>
          <w:rFonts w:ascii="Noto Sans" w:hAnsi="Noto Sans" w:cs="Noto Sans"/>
          <w:sz w:val="22"/>
          <w:szCs w:val="22"/>
          <w:lang w:val="en"/>
        </w:rPr>
        <w:t xml:space="preserve"> continues investing in this direction.</w:t>
      </w:r>
    </w:p>
    <w:p w14:paraId="3374D37D" w14:textId="77777777" w:rsidR="008D5148" w:rsidRPr="00B12CB9" w:rsidRDefault="00B2214F" w:rsidP="00B12CB9">
      <w:pPr>
        <w:pStyle w:val="a7"/>
        <w:spacing w:line="276" w:lineRule="auto"/>
        <w:ind w:left="-567" w:right="-284"/>
        <w:jc w:val="both"/>
        <w:rPr>
          <w:rFonts w:ascii="Noto Sans" w:hAnsi="Noto Sans" w:cs="Noto Sans"/>
          <w:sz w:val="22"/>
          <w:szCs w:val="22"/>
          <w:lang w:val="en-US"/>
        </w:rPr>
      </w:pPr>
      <w:r w:rsidRPr="00B12CB9">
        <w:rPr>
          <w:rFonts w:ascii="Noto Sans" w:hAnsi="Noto Sans" w:cs="Noto Sans"/>
          <w:sz w:val="22"/>
          <w:szCs w:val="22"/>
          <w:lang w:val="en"/>
        </w:rPr>
        <w:t xml:space="preserve">STADA Group includes more than 20 production facilities worldwide, including the Russian site </w:t>
      </w:r>
      <w:proofErr w:type="spellStart"/>
      <w:r w:rsidRPr="00B12CB9">
        <w:rPr>
          <w:rFonts w:ascii="Noto Sans" w:hAnsi="Noto Sans" w:cs="Noto Sans"/>
          <w:sz w:val="22"/>
          <w:szCs w:val="22"/>
          <w:lang w:val="en"/>
        </w:rPr>
        <w:t>Nizhpharm</w:t>
      </w:r>
      <w:proofErr w:type="spellEnd"/>
      <w:r w:rsidRPr="00B12CB9">
        <w:rPr>
          <w:rFonts w:ascii="Noto Sans" w:hAnsi="Noto Sans" w:cs="Noto Sans"/>
          <w:sz w:val="22"/>
          <w:szCs w:val="22"/>
          <w:lang w:val="en"/>
        </w:rPr>
        <w:t xml:space="preserve"> (Nizhny Novgorod).</w:t>
      </w:r>
    </w:p>
    <w:p w14:paraId="23E23BA7" w14:textId="420FF618" w:rsidR="008D5148" w:rsidRPr="00B12CB9" w:rsidRDefault="00B2214F" w:rsidP="00B12CB9">
      <w:pPr>
        <w:pStyle w:val="a7"/>
        <w:spacing w:before="0" w:beforeAutospacing="0" w:after="200" w:afterAutospacing="0" w:line="276" w:lineRule="auto"/>
        <w:ind w:left="-567" w:right="-284"/>
        <w:jc w:val="both"/>
        <w:rPr>
          <w:rFonts w:ascii="Noto Sans" w:hAnsi="Noto Sans" w:cs="Noto Sans"/>
          <w:sz w:val="22"/>
          <w:szCs w:val="22"/>
          <w:lang w:val="en-US"/>
        </w:rPr>
      </w:pPr>
      <w:r w:rsidRPr="00B12CB9">
        <w:rPr>
          <w:rFonts w:ascii="Noto Sans" w:hAnsi="Noto Sans" w:cs="Noto Sans"/>
          <w:sz w:val="22"/>
          <w:szCs w:val="22"/>
          <w:lang w:val="en"/>
        </w:rPr>
        <w:t xml:space="preserve">Production site </w:t>
      </w:r>
      <w:proofErr w:type="spellStart"/>
      <w:r w:rsidRPr="00B12CB9">
        <w:rPr>
          <w:rFonts w:ascii="Noto Sans" w:hAnsi="Noto Sans" w:cs="Noto Sans"/>
          <w:b/>
          <w:bCs/>
          <w:sz w:val="22"/>
          <w:szCs w:val="22"/>
          <w:lang w:val="en"/>
        </w:rPr>
        <w:t>Nizhpharm</w:t>
      </w:r>
      <w:proofErr w:type="spellEnd"/>
      <w:r w:rsidRPr="00B12CB9">
        <w:rPr>
          <w:rFonts w:ascii="Noto Sans" w:hAnsi="Noto Sans" w:cs="Noto Sans"/>
          <w:b/>
          <w:bCs/>
          <w:sz w:val="22"/>
          <w:szCs w:val="22"/>
          <w:lang w:val="en"/>
        </w:rPr>
        <w:t xml:space="preserve"> became a part of STADA in 2004</w:t>
      </w:r>
      <w:r w:rsidRPr="00B12CB9">
        <w:rPr>
          <w:rFonts w:ascii="Noto Sans" w:hAnsi="Noto Sans" w:cs="Noto Sans"/>
          <w:sz w:val="22"/>
          <w:szCs w:val="22"/>
          <w:lang w:val="en"/>
        </w:rPr>
        <w:t>. It is the largest Russian manufacturer of semi-solid dosage forms (ointments, gels</w:t>
      </w:r>
      <w:r w:rsidR="00210F52" w:rsidRPr="00B12CB9">
        <w:rPr>
          <w:rFonts w:ascii="Noto Sans" w:hAnsi="Noto Sans" w:cs="Noto Sans"/>
          <w:sz w:val="22"/>
          <w:szCs w:val="22"/>
          <w:lang w:val="en"/>
        </w:rPr>
        <w:t>, creams</w:t>
      </w:r>
      <w:r w:rsidRPr="00B12CB9">
        <w:rPr>
          <w:rFonts w:ascii="Noto Sans" w:hAnsi="Noto Sans" w:cs="Noto Sans"/>
          <w:sz w:val="22"/>
          <w:szCs w:val="22"/>
          <w:lang w:val="en"/>
        </w:rPr>
        <w:t>)</w:t>
      </w:r>
      <w:r w:rsidR="00210F52" w:rsidRPr="00B12CB9">
        <w:rPr>
          <w:rFonts w:ascii="Noto Sans" w:hAnsi="Noto Sans" w:cs="Noto Sans"/>
          <w:sz w:val="22"/>
          <w:szCs w:val="22"/>
          <w:lang w:val="en"/>
        </w:rPr>
        <w:t xml:space="preserve"> and suppositories</w:t>
      </w:r>
      <w:r w:rsidRPr="00B12CB9">
        <w:rPr>
          <w:rFonts w:ascii="Noto Sans" w:hAnsi="Noto Sans" w:cs="Noto Sans"/>
          <w:sz w:val="22"/>
          <w:szCs w:val="22"/>
          <w:lang w:val="en"/>
        </w:rPr>
        <w:t>. The production site with a century-old history was the first Russian enterprise that confirmed its compliance with international GMP quality standards.</w:t>
      </w:r>
    </w:p>
    <w:p w14:paraId="391735F5" w14:textId="5F8FF923" w:rsidR="004409F7" w:rsidRPr="00B12CB9" w:rsidRDefault="00B2214F" w:rsidP="00B12CB9">
      <w:pPr>
        <w:pStyle w:val="a7"/>
        <w:spacing w:before="0" w:beforeAutospacing="0" w:after="200" w:afterAutospacing="0" w:line="276" w:lineRule="auto"/>
        <w:ind w:left="-567" w:right="-284"/>
        <w:jc w:val="both"/>
        <w:rPr>
          <w:rFonts w:ascii="Noto Sans" w:hAnsi="Noto Sans" w:cs="Noto Sans"/>
          <w:b/>
          <w:bCs/>
          <w:sz w:val="22"/>
          <w:szCs w:val="22"/>
          <w:lang w:val="en-US"/>
        </w:rPr>
      </w:pPr>
      <w:r w:rsidRPr="00B12CB9">
        <w:rPr>
          <w:rFonts w:ascii="Noto Sans" w:hAnsi="Noto Sans" w:cs="Noto Sans"/>
          <w:sz w:val="22"/>
          <w:szCs w:val="22"/>
          <w:lang w:val="en"/>
        </w:rPr>
        <w:t xml:space="preserve">The total </w:t>
      </w:r>
      <w:r w:rsidRPr="00B12CB9">
        <w:rPr>
          <w:rFonts w:ascii="Noto Sans" w:hAnsi="Noto Sans" w:cs="Noto Sans"/>
          <w:b/>
          <w:bCs/>
          <w:sz w:val="22"/>
          <w:szCs w:val="22"/>
          <w:lang w:val="en"/>
        </w:rPr>
        <w:t xml:space="preserve">area of the facility is </w:t>
      </w:r>
      <w:r w:rsidR="00210F52" w:rsidRPr="00B12CB9">
        <w:rPr>
          <w:rFonts w:ascii="Noto Sans" w:hAnsi="Noto Sans" w:cs="Noto Sans"/>
          <w:b/>
          <w:bCs/>
          <w:sz w:val="22"/>
          <w:szCs w:val="22"/>
          <w:lang w:val="en"/>
        </w:rPr>
        <w:t>45</w:t>
      </w:r>
      <w:r w:rsidRPr="00B12CB9">
        <w:rPr>
          <w:rFonts w:ascii="Noto Sans" w:hAnsi="Noto Sans" w:cs="Noto Sans"/>
          <w:b/>
          <w:bCs/>
          <w:sz w:val="22"/>
          <w:szCs w:val="22"/>
          <w:lang w:val="en"/>
        </w:rPr>
        <w:t>.</w:t>
      </w:r>
      <w:r w:rsidR="00210F52" w:rsidRPr="00B12CB9">
        <w:rPr>
          <w:rFonts w:ascii="Noto Sans" w:hAnsi="Noto Sans" w:cs="Noto Sans"/>
          <w:b/>
          <w:bCs/>
          <w:sz w:val="22"/>
          <w:szCs w:val="22"/>
          <w:lang w:val="en"/>
        </w:rPr>
        <w:t>9</w:t>
      </w:r>
      <w:r w:rsidRPr="00B12CB9">
        <w:rPr>
          <w:rFonts w:ascii="Noto Sans" w:hAnsi="Noto Sans" w:cs="Noto Sans"/>
          <w:b/>
          <w:bCs/>
          <w:sz w:val="22"/>
          <w:szCs w:val="22"/>
          <w:lang w:val="en"/>
        </w:rPr>
        <w:t xml:space="preserve"> k </w:t>
      </w:r>
      <w:proofErr w:type="spellStart"/>
      <w:r w:rsidRPr="00B12CB9">
        <w:rPr>
          <w:rFonts w:ascii="Noto Sans" w:hAnsi="Noto Sans" w:cs="Noto Sans"/>
          <w:b/>
          <w:bCs/>
          <w:sz w:val="22"/>
          <w:szCs w:val="22"/>
          <w:lang w:val="en"/>
        </w:rPr>
        <w:t>sq.m</w:t>
      </w:r>
      <w:proofErr w:type="spellEnd"/>
      <w:r w:rsidRPr="00B12CB9">
        <w:rPr>
          <w:rFonts w:ascii="Noto Sans" w:hAnsi="Noto Sans" w:cs="Noto Sans"/>
          <w:sz w:val="22"/>
          <w:szCs w:val="22"/>
          <w:lang w:val="en"/>
        </w:rPr>
        <w:t xml:space="preserve">. The area of the production zone is </w:t>
      </w:r>
      <w:r w:rsidR="00210F52" w:rsidRPr="00B12CB9">
        <w:rPr>
          <w:rFonts w:ascii="Noto Sans" w:hAnsi="Noto Sans" w:cs="Noto Sans"/>
          <w:sz w:val="22"/>
          <w:szCs w:val="22"/>
          <w:lang w:val="en"/>
        </w:rPr>
        <w:t>1</w:t>
      </w:r>
      <w:r w:rsidRPr="00B12CB9">
        <w:rPr>
          <w:rFonts w:ascii="Noto Sans" w:hAnsi="Noto Sans" w:cs="Noto Sans"/>
          <w:sz w:val="22"/>
          <w:szCs w:val="22"/>
          <w:lang w:val="en"/>
        </w:rPr>
        <w:t>4.</w:t>
      </w:r>
      <w:r w:rsidR="00210F52" w:rsidRPr="00B12CB9">
        <w:rPr>
          <w:rFonts w:ascii="Noto Sans" w:hAnsi="Noto Sans" w:cs="Noto Sans"/>
          <w:sz w:val="22"/>
          <w:szCs w:val="22"/>
          <w:lang w:val="en"/>
        </w:rPr>
        <w:t>7</w:t>
      </w:r>
      <w:r w:rsidRPr="00B12CB9">
        <w:rPr>
          <w:rFonts w:ascii="Noto Sans" w:hAnsi="Noto Sans" w:cs="Noto Sans"/>
          <w:sz w:val="22"/>
          <w:szCs w:val="22"/>
          <w:lang w:val="en"/>
        </w:rPr>
        <w:t xml:space="preserve"> k </w:t>
      </w:r>
      <w:proofErr w:type="spellStart"/>
      <w:r w:rsidRPr="00B12CB9">
        <w:rPr>
          <w:rFonts w:ascii="Noto Sans" w:hAnsi="Noto Sans" w:cs="Noto Sans"/>
          <w:sz w:val="22"/>
          <w:szCs w:val="22"/>
          <w:lang w:val="en"/>
        </w:rPr>
        <w:t>sq.m</w:t>
      </w:r>
      <w:proofErr w:type="spellEnd"/>
      <w:r w:rsidRPr="00B12CB9">
        <w:rPr>
          <w:rFonts w:ascii="Noto Sans" w:hAnsi="Noto Sans" w:cs="Noto Sans"/>
          <w:sz w:val="22"/>
          <w:szCs w:val="22"/>
          <w:lang w:val="en"/>
        </w:rPr>
        <w:t xml:space="preserve"> and includes</w:t>
      </w:r>
      <w:r w:rsidR="00210F52" w:rsidRPr="00B12CB9">
        <w:rPr>
          <w:rFonts w:ascii="Noto Sans" w:hAnsi="Noto Sans" w:cs="Noto Sans"/>
          <w:sz w:val="22"/>
          <w:szCs w:val="22"/>
          <w:lang w:val="en"/>
        </w:rPr>
        <w:t xml:space="preserve"> </w:t>
      </w:r>
      <w:r w:rsidR="00210F52" w:rsidRPr="00B12CB9">
        <w:rPr>
          <w:rFonts w:ascii="Noto Sans" w:hAnsi="Noto Sans" w:cs="Noto Sans"/>
          <w:sz w:val="22"/>
          <w:szCs w:val="22"/>
          <w:lang w:val="en-US"/>
        </w:rPr>
        <w:t xml:space="preserve">2.6 k </w:t>
      </w:r>
      <w:proofErr w:type="spellStart"/>
      <w:r w:rsidR="00210F52" w:rsidRPr="00B12CB9">
        <w:rPr>
          <w:rFonts w:ascii="Noto Sans" w:hAnsi="Noto Sans" w:cs="Noto Sans"/>
          <w:sz w:val="22"/>
          <w:szCs w:val="22"/>
          <w:lang w:val="en-US"/>
        </w:rPr>
        <w:t>sq.m</w:t>
      </w:r>
      <w:proofErr w:type="spellEnd"/>
      <w:r w:rsidR="00210F52" w:rsidRPr="00B12CB9">
        <w:rPr>
          <w:rFonts w:ascii="Noto Sans" w:hAnsi="Noto Sans" w:cs="Noto Sans"/>
          <w:sz w:val="22"/>
          <w:szCs w:val="22"/>
          <w:lang w:val="en-US"/>
        </w:rPr>
        <w:t>. –</w:t>
      </w:r>
      <w:r w:rsidR="00210F52" w:rsidRPr="00B12CB9">
        <w:rPr>
          <w:sz w:val="22"/>
          <w:szCs w:val="22"/>
          <w:lang w:val="en-US"/>
        </w:rPr>
        <w:t xml:space="preserve"> </w:t>
      </w:r>
      <w:r w:rsidR="00210F52" w:rsidRPr="00B12CB9">
        <w:rPr>
          <w:rFonts w:ascii="Noto Sans" w:hAnsi="Noto Sans" w:cs="Noto Sans"/>
          <w:sz w:val="22"/>
          <w:szCs w:val="22"/>
          <w:lang w:val="en-US"/>
        </w:rPr>
        <w:t xml:space="preserve">the area of clean production zones of class D and C, </w:t>
      </w:r>
      <w:r w:rsidRPr="00B12CB9">
        <w:rPr>
          <w:rFonts w:ascii="Noto Sans" w:hAnsi="Noto Sans" w:cs="Noto Sans"/>
          <w:sz w:val="22"/>
          <w:szCs w:val="22"/>
          <w:lang w:val="en"/>
        </w:rPr>
        <w:t>workshops for ointments, creams, gels, liniments (semi-solid dosage forms), suppositories, tablets</w:t>
      </w:r>
      <w:r w:rsidR="00210F52" w:rsidRPr="00B12CB9">
        <w:rPr>
          <w:rFonts w:ascii="Noto Sans" w:hAnsi="Noto Sans" w:cs="Noto Sans"/>
          <w:sz w:val="22"/>
          <w:szCs w:val="22"/>
          <w:lang w:val="en"/>
        </w:rPr>
        <w:t>, medical products, liquid dosage forms</w:t>
      </w:r>
      <w:r w:rsidRPr="00B12CB9">
        <w:rPr>
          <w:rFonts w:ascii="Noto Sans" w:hAnsi="Noto Sans" w:cs="Noto Sans"/>
          <w:sz w:val="22"/>
          <w:szCs w:val="22"/>
          <w:lang w:val="en"/>
        </w:rPr>
        <w:t xml:space="preserve">. The annual production capacities of NIZHPHARM amount to </w:t>
      </w:r>
      <w:r w:rsidR="00210F52" w:rsidRPr="00B12CB9">
        <w:rPr>
          <w:rFonts w:ascii="Noto Sans" w:hAnsi="Noto Sans" w:cs="Noto Sans"/>
          <w:b/>
          <w:bCs/>
          <w:sz w:val="22"/>
          <w:szCs w:val="22"/>
          <w:lang w:val="en"/>
        </w:rPr>
        <w:t>2</w:t>
      </w:r>
      <w:r w:rsidRPr="00B12CB9">
        <w:rPr>
          <w:rFonts w:ascii="Noto Sans" w:hAnsi="Noto Sans" w:cs="Noto Sans"/>
          <w:b/>
          <w:bCs/>
          <w:sz w:val="22"/>
          <w:szCs w:val="22"/>
          <w:lang w:val="en"/>
        </w:rPr>
        <w:t>.</w:t>
      </w:r>
      <w:r w:rsidR="00210F52" w:rsidRPr="00B12CB9">
        <w:rPr>
          <w:rFonts w:ascii="Noto Sans" w:hAnsi="Noto Sans" w:cs="Noto Sans"/>
          <w:b/>
          <w:bCs/>
          <w:sz w:val="22"/>
          <w:szCs w:val="22"/>
          <w:lang w:val="en"/>
        </w:rPr>
        <w:t>377</w:t>
      </w:r>
      <w:r w:rsidRPr="00B12CB9">
        <w:rPr>
          <w:rFonts w:ascii="Noto Sans" w:hAnsi="Noto Sans" w:cs="Noto Sans"/>
          <w:b/>
          <w:bCs/>
          <w:sz w:val="22"/>
          <w:szCs w:val="22"/>
          <w:lang w:val="en"/>
        </w:rPr>
        <w:t xml:space="preserve"> </w:t>
      </w:r>
      <w:proofErr w:type="spellStart"/>
      <w:r w:rsidRPr="00B12CB9">
        <w:rPr>
          <w:rFonts w:ascii="Noto Sans" w:hAnsi="Noto Sans" w:cs="Noto Sans"/>
          <w:b/>
          <w:bCs/>
          <w:sz w:val="22"/>
          <w:szCs w:val="22"/>
          <w:lang w:val="en"/>
        </w:rPr>
        <w:t>mio</w:t>
      </w:r>
      <w:proofErr w:type="spellEnd"/>
      <w:r w:rsidRPr="00B12CB9">
        <w:rPr>
          <w:rFonts w:ascii="Noto Sans" w:hAnsi="Noto Sans" w:cs="Noto Sans"/>
          <w:b/>
          <w:bCs/>
          <w:sz w:val="22"/>
          <w:szCs w:val="22"/>
          <w:lang w:val="en"/>
        </w:rPr>
        <w:t xml:space="preserve"> kg (</w:t>
      </w:r>
      <w:r w:rsidR="00210F52" w:rsidRPr="00B12CB9">
        <w:rPr>
          <w:rFonts w:ascii="Noto Sans" w:hAnsi="Noto Sans" w:cs="Noto Sans"/>
          <w:b/>
          <w:bCs/>
          <w:sz w:val="22"/>
          <w:szCs w:val="22"/>
          <w:lang w:val="en"/>
        </w:rPr>
        <w:t>2377</w:t>
      </w:r>
      <w:r w:rsidRPr="00B12CB9">
        <w:rPr>
          <w:rFonts w:ascii="Noto Sans" w:hAnsi="Noto Sans" w:cs="Noto Sans"/>
          <w:b/>
          <w:bCs/>
          <w:sz w:val="22"/>
          <w:szCs w:val="22"/>
          <w:lang w:val="en"/>
        </w:rPr>
        <w:t xml:space="preserve"> tons) of semi-solid dosage forms, 4</w:t>
      </w:r>
      <w:r w:rsidR="00210F52" w:rsidRPr="00B12CB9">
        <w:rPr>
          <w:rFonts w:ascii="Noto Sans" w:hAnsi="Noto Sans" w:cs="Noto Sans"/>
          <w:b/>
          <w:bCs/>
          <w:sz w:val="22"/>
          <w:szCs w:val="22"/>
          <w:lang w:val="en"/>
        </w:rPr>
        <w:t>74</w:t>
      </w:r>
      <w:r w:rsidRPr="00B12CB9">
        <w:rPr>
          <w:rFonts w:ascii="Noto Sans" w:hAnsi="Noto Sans" w:cs="Noto Sans"/>
          <w:b/>
          <w:bCs/>
          <w:sz w:val="22"/>
          <w:szCs w:val="22"/>
          <w:lang w:val="en"/>
        </w:rPr>
        <w:t xml:space="preserve"> </w:t>
      </w:r>
      <w:proofErr w:type="spellStart"/>
      <w:r w:rsidRPr="00B12CB9">
        <w:rPr>
          <w:rFonts w:ascii="Noto Sans" w:hAnsi="Noto Sans" w:cs="Noto Sans"/>
          <w:b/>
          <w:bCs/>
          <w:sz w:val="22"/>
          <w:szCs w:val="22"/>
          <w:lang w:val="en"/>
        </w:rPr>
        <w:t>mio</w:t>
      </w:r>
      <w:proofErr w:type="spellEnd"/>
      <w:r w:rsidRPr="00B12CB9">
        <w:rPr>
          <w:rFonts w:ascii="Noto Sans" w:hAnsi="Noto Sans" w:cs="Noto Sans"/>
          <w:b/>
          <w:bCs/>
          <w:sz w:val="22"/>
          <w:szCs w:val="22"/>
          <w:lang w:val="en"/>
        </w:rPr>
        <w:t xml:space="preserve"> suppositories, </w:t>
      </w:r>
      <w:r w:rsidR="00210F52" w:rsidRPr="00B12CB9">
        <w:rPr>
          <w:rFonts w:ascii="Noto Sans" w:hAnsi="Noto Sans" w:cs="Noto Sans"/>
          <w:b/>
          <w:bCs/>
          <w:sz w:val="22"/>
          <w:szCs w:val="22"/>
          <w:lang w:val="en"/>
        </w:rPr>
        <w:t xml:space="preserve">85 </w:t>
      </w:r>
      <w:proofErr w:type="spellStart"/>
      <w:r w:rsidRPr="00B12CB9">
        <w:rPr>
          <w:rFonts w:ascii="Noto Sans" w:hAnsi="Noto Sans" w:cs="Noto Sans"/>
          <w:b/>
          <w:bCs/>
          <w:sz w:val="22"/>
          <w:szCs w:val="22"/>
          <w:lang w:val="en"/>
        </w:rPr>
        <w:t>mio</w:t>
      </w:r>
      <w:proofErr w:type="spellEnd"/>
      <w:r w:rsidRPr="00B12CB9">
        <w:rPr>
          <w:rFonts w:ascii="Noto Sans" w:hAnsi="Noto Sans" w:cs="Noto Sans"/>
          <w:b/>
          <w:bCs/>
          <w:sz w:val="22"/>
          <w:szCs w:val="22"/>
          <w:lang w:val="en"/>
        </w:rPr>
        <w:t xml:space="preserve"> tablets, </w:t>
      </w:r>
      <w:r w:rsidR="00210F52" w:rsidRPr="00B12CB9">
        <w:rPr>
          <w:rFonts w:ascii="Noto Sans" w:hAnsi="Noto Sans" w:cs="Noto Sans"/>
          <w:b/>
          <w:bCs/>
          <w:sz w:val="22"/>
          <w:szCs w:val="22"/>
          <w:lang w:val="en"/>
        </w:rPr>
        <w:t>8.5</w:t>
      </w:r>
      <w:r w:rsidRPr="00B12CB9">
        <w:rPr>
          <w:rFonts w:ascii="Noto Sans" w:hAnsi="Noto Sans" w:cs="Noto Sans"/>
          <w:b/>
          <w:bCs/>
          <w:sz w:val="22"/>
          <w:szCs w:val="22"/>
          <w:lang w:val="en"/>
        </w:rPr>
        <w:t xml:space="preserve"> </w:t>
      </w:r>
      <w:proofErr w:type="spellStart"/>
      <w:r w:rsidRPr="00B12CB9">
        <w:rPr>
          <w:rFonts w:ascii="Noto Sans" w:hAnsi="Noto Sans" w:cs="Noto Sans"/>
          <w:b/>
          <w:bCs/>
          <w:sz w:val="22"/>
          <w:szCs w:val="22"/>
          <w:lang w:val="en"/>
        </w:rPr>
        <w:t>mio</w:t>
      </w:r>
      <w:proofErr w:type="spellEnd"/>
      <w:r w:rsidRPr="00B12CB9">
        <w:rPr>
          <w:rFonts w:ascii="Noto Sans" w:hAnsi="Noto Sans" w:cs="Noto Sans"/>
          <w:b/>
          <w:bCs/>
          <w:sz w:val="22"/>
          <w:szCs w:val="22"/>
          <w:lang w:val="en"/>
        </w:rPr>
        <w:t xml:space="preserve"> packs of medical devices</w:t>
      </w:r>
      <w:r w:rsidR="00210F52" w:rsidRPr="00B12CB9">
        <w:rPr>
          <w:rFonts w:ascii="Noto Sans" w:hAnsi="Noto Sans" w:cs="Noto Sans"/>
          <w:b/>
          <w:bCs/>
          <w:sz w:val="22"/>
          <w:szCs w:val="22"/>
          <w:lang w:val="en"/>
        </w:rPr>
        <w:t xml:space="preserve">, 0,6 </w:t>
      </w:r>
      <w:proofErr w:type="spellStart"/>
      <w:r w:rsidR="00210F52" w:rsidRPr="00B12CB9">
        <w:rPr>
          <w:rFonts w:ascii="Noto Sans" w:hAnsi="Noto Sans" w:cs="Noto Sans"/>
          <w:b/>
          <w:bCs/>
          <w:sz w:val="22"/>
          <w:szCs w:val="22"/>
          <w:lang w:val="en"/>
        </w:rPr>
        <w:t>mio</w:t>
      </w:r>
      <w:proofErr w:type="spellEnd"/>
      <w:r w:rsidR="00210F52" w:rsidRPr="00B12CB9">
        <w:rPr>
          <w:rFonts w:ascii="Noto Sans" w:hAnsi="Noto Sans" w:cs="Noto Sans"/>
          <w:b/>
          <w:bCs/>
          <w:sz w:val="22"/>
          <w:szCs w:val="22"/>
          <w:lang w:val="en"/>
        </w:rPr>
        <w:t xml:space="preserve"> liquid dosage forms</w:t>
      </w:r>
      <w:r w:rsidRPr="00B12CB9">
        <w:rPr>
          <w:rFonts w:ascii="Noto Sans" w:hAnsi="Noto Sans" w:cs="Noto Sans"/>
          <w:b/>
          <w:bCs/>
          <w:sz w:val="22"/>
          <w:szCs w:val="22"/>
          <w:lang w:val="en"/>
        </w:rPr>
        <w:t>.</w:t>
      </w:r>
    </w:p>
    <w:p w14:paraId="4A7DCC00" w14:textId="3CA8354A" w:rsidR="00657D9C" w:rsidRPr="00B12CB9" w:rsidRDefault="00B2214F" w:rsidP="00B12CB9">
      <w:pPr>
        <w:pStyle w:val="a7"/>
        <w:spacing w:before="0" w:beforeAutospacing="0" w:after="200" w:afterAutospacing="0" w:line="276" w:lineRule="auto"/>
        <w:ind w:left="-567" w:right="-284"/>
        <w:jc w:val="both"/>
        <w:rPr>
          <w:rFonts w:ascii="Noto Sans" w:hAnsi="Noto Sans" w:cs="Noto Sans"/>
          <w:sz w:val="22"/>
          <w:szCs w:val="22"/>
          <w:lang w:val="en-US"/>
        </w:rPr>
      </w:pPr>
      <w:r w:rsidRPr="00B12CB9">
        <w:rPr>
          <w:rFonts w:ascii="Noto Sans" w:hAnsi="Noto Sans" w:cs="Noto Sans"/>
          <w:sz w:val="22"/>
          <w:szCs w:val="22"/>
          <w:lang w:val="en"/>
        </w:rPr>
        <w:t>Since 200</w:t>
      </w:r>
      <w:r w:rsidR="00210F52" w:rsidRPr="00B12CB9">
        <w:rPr>
          <w:rFonts w:ascii="Noto Sans" w:hAnsi="Noto Sans" w:cs="Noto Sans"/>
          <w:sz w:val="22"/>
          <w:szCs w:val="22"/>
          <w:lang w:val="en"/>
        </w:rPr>
        <w:t>4</w:t>
      </w:r>
      <w:r w:rsidRPr="00B12CB9">
        <w:rPr>
          <w:rFonts w:ascii="Noto Sans" w:hAnsi="Noto Sans" w:cs="Noto Sans"/>
          <w:sz w:val="22"/>
          <w:szCs w:val="22"/>
          <w:lang w:val="en"/>
        </w:rPr>
        <w:t xml:space="preserve">, </w:t>
      </w:r>
      <w:proofErr w:type="spellStart"/>
      <w:r w:rsidRPr="00B12CB9">
        <w:rPr>
          <w:rFonts w:ascii="Noto Sans" w:hAnsi="Noto Sans" w:cs="Noto Sans"/>
          <w:sz w:val="22"/>
          <w:szCs w:val="22"/>
          <w:lang w:val="en"/>
        </w:rPr>
        <w:t>Nizhpharm</w:t>
      </w:r>
      <w:proofErr w:type="spellEnd"/>
      <w:r w:rsidRPr="00B12CB9">
        <w:rPr>
          <w:rFonts w:ascii="Noto Sans" w:hAnsi="Noto Sans" w:cs="Noto Sans"/>
          <w:sz w:val="22"/>
          <w:szCs w:val="22"/>
          <w:lang w:val="en"/>
        </w:rPr>
        <w:t xml:space="preserve"> has implemented one of the best quality management systems among Russian pharmaceutical manufacturers. </w:t>
      </w:r>
    </w:p>
    <w:p w14:paraId="5707E73A" w14:textId="77777777" w:rsidR="004409F7" w:rsidRPr="00B12CB9" w:rsidRDefault="00B2214F" w:rsidP="00B12CB9">
      <w:pPr>
        <w:pStyle w:val="a7"/>
        <w:spacing w:before="0" w:beforeAutospacing="0" w:after="200" w:afterAutospacing="0" w:line="276" w:lineRule="auto"/>
        <w:ind w:left="-567" w:right="-284"/>
        <w:jc w:val="both"/>
        <w:rPr>
          <w:rFonts w:ascii="Noto Sans" w:hAnsi="Noto Sans" w:cs="Noto Sans"/>
          <w:sz w:val="22"/>
          <w:szCs w:val="22"/>
          <w:lang w:val="en-US"/>
        </w:rPr>
      </w:pPr>
      <w:proofErr w:type="spellStart"/>
      <w:r w:rsidRPr="00B12CB9">
        <w:rPr>
          <w:rFonts w:ascii="Noto Sans" w:hAnsi="Noto Sans" w:cs="Noto Sans"/>
          <w:sz w:val="22"/>
          <w:szCs w:val="22"/>
          <w:lang w:val="en"/>
        </w:rPr>
        <w:t>Nizhpharm</w:t>
      </w:r>
      <w:proofErr w:type="spellEnd"/>
      <w:r w:rsidRPr="00B12CB9">
        <w:rPr>
          <w:rFonts w:ascii="Noto Sans" w:hAnsi="Noto Sans" w:cs="Noto Sans"/>
          <w:sz w:val="22"/>
          <w:szCs w:val="22"/>
          <w:lang w:val="en"/>
        </w:rPr>
        <w:t xml:space="preserve"> was one of the first pharmaceutical production facilities in Russia to receive certificates from the Ministry of Health of the Russian Federation and the World Health Organization on the compliance of the company's quality assurance system with Russian and international GMP standards.</w:t>
      </w:r>
    </w:p>
    <w:p w14:paraId="653E83FE" w14:textId="3D241765" w:rsidR="004409F7" w:rsidRPr="00B12CB9" w:rsidRDefault="00B2214F" w:rsidP="00B12CB9">
      <w:pPr>
        <w:ind w:left="-567" w:right="-284"/>
        <w:jc w:val="both"/>
        <w:rPr>
          <w:rFonts w:ascii="Noto Sans" w:hAnsi="Noto Sans" w:cs="Noto Sans"/>
          <w:lang w:val="en-US"/>
        </w:rPr>
      </w:pPr>
      <w:r w:rsidRPr="00B12CB9">
        <w:rPr>
          <w:rFonts w:ascii="Noto Sans" w:hAnsi="Noto Sans" w:cs="Noto Sans"/>
          <w:lang w:val="en"/>
        </w:rPr>
        <w:lastRenderedPageBreak/>
        <w:t xml:space="preserve">Today,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w:t>
      </w:r>
      <w:r w:rsidRPr="00B12CB9">
        <w:rPr>
          <w:rFonts w:ascii="Noto Sans" w:hAnsi="Noto Sans" w:cs="Noto Sans"/>
          <w:b/>
          <w:bCs/>
          <w:lang w:val="en"/>
        </w:rPr>
        <w:t>supplies its products to 1</w:t>
      </w:r>
      <w:r w:rsidR="00210F52" w:rsidRPr="00B12CB9">
        <w:rPr>
          <w:rFonts w:ascii="Noto Sans" w:hAnsi="Noto Sans" w:cs="Noto Sans"/>
          <w:b/>
          <w:bCs/>
          <w:lang w:val="en"/>
        </w:rPr>
        <w:t>5</w:t>
      </w:r>
      <w:r w:rsidRPr="00B12CB9">
        <w:rPr>
          <w:rFonts w:ascii="Noto Sans" w:hAnsi="Noto Sans" w:cs="Noto Sans"/>
          <w:b/>
          <w:bCs/>
          <w:lang w:val="en"/>
        </w:rPr>
        <w:t xml:space="preserve"> foreign countries</w:t>
      </w:r>
      <w:r w:rsidRPr="00B12CB9">
        <w:rPr>
          <w:rFonts w:ascii="Noto Sans" w:hAnsi="Noto Sans" w:cs="Noto Sans"/>
          <w:lang w:val="en"/>
        </w:rPr>
        <w:t xml:space="preserve"> with more than </w:t>
      </w:r>
      <w:r w:rsidR="00210F52" w:rsidRPr="00B12CB9">
        <w:rPr>
          <w:rFonts w:ascii="Noto Sans" w:hAnsi="Noto Sans" w:cs="Noto Sans"/>
          <w:lang w:val="en"/>
        </w:rPr>
        <w:t>240</w:t>
      </w:r>
      <w:r w:rsidRPr="00B12CB9">
        <w:rPr>
          <w:rFonts w:ascii="Noto Sans" w:hAnsi="Noto Sans" w:cs="Noto Sans"/>
          <w:lang w:val="en"/>
        </w:rPr>
        <w:t xml:space="preserve"> exported SKUs. </w:t>
      </w:r>
    </w:p>
    <w:p w14:paraId="2A5AA501" w14:textId="2F4E090C" w:rsidR="00EA5099" w:rsidRPr="00B12CB9" w:rsidRDefault="00B2214F" w:rsidP="00B12CB9">
      <w:pPr>
        <w:ind w:left="-567" w:right="-284"/>
        <w:jc w:val="both"/>
        <w:rPr>
          <w:rFonts w:ascii="Noto Sans" w:hAnsi="Noto Sans" w:cs="Noto Sans"/>
          <w:lang w:val="en-US"/>
        </w:rPr>
      </w:pPr>
      <w:r w:rsidRPr="00B12CB9">
        <w:rPr>
          <w:rFonts w:ascii="Noto Sans" w:hAnsi="Noto Sans" w:cs="Noto Sans"/>
          <w:lang w:val="en"/>
        </w:rPr>
        <w:t xml:space="preserve">Due to the high quality standards, STADA's production site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is gradually </w:t>
      </w:r>
      <w:r w:rsidRPr="00B12CB9">
        <w:rPr>
          <w:rFonts w:ascii="Noto Sans" w:hAnsi="Noto Sans" w:cs="Noto Sans"/>
          <w:b/>
          <w:bCs/>
          <w:lang w:val="en"/>
        </w:rPr>
        <w:t>becoming a center of excellence for the production of semi-solid dosage forms</w:t>
      </w:r>
      <w:r w:rsidR="00210F52" w:rsidRPr="00B12CB9">
        <w:rPr>
          <w:rFonts w:ascii="Noto Sans" w:hAnsi="Noto Sans" w:cs="Noto Sans"/>
          <w:b/>
          <w:bCs/>
          <w:lang w:val="en"/>
        </w:rPr>
        <w:t xml:space="preserve"> and suppositories</w:t>
      </w:r>
      <w:r w:rsidRPr="00B12CB9">
        <w:rPr>
          <w:rFonts w:ascii="Noto Sans" w:hAnsi="Noto Sans" w:cs="Noto Sans"/>
          <w:b/>
          <w:bCs/>
          <w:lang w:val="en"/>
        </w:rPr>
        <w:t xml:space="preserve"> in STADA group</w:t>
      </w:r>
      <w:r w:rsidRPr="00B12CB9">
        <w:rPr>
          <w:rFonts w:ascii="Noto Sans" w:hAnsi="Noto Sans" w:cs="Noto Sans"/>
          <w:lang w:val="en"/>
        </w:rPr>
        <w:t xml:space="preserve"> - an enterprise to which foreign technologies are transferred from STADA production sites in Serbia and the UK.</w:t>
      </w:r>
    </w:p>
    <w:p w14:paraId="7278E942" w14:textId="37B40B34" w:rsidR="00EA5099" w:rsidRPr="00B12CB9" w:rsidRDefault="00B2214F" w:rsidP="00B12CB9">
      <w:pPr>
        <w:ind w:left="-567" w:right="-284"/>
        <w:jc w:val="both"/>
        <w:rPr>
          <w:rFonts w:ascii="Noto Sans" w:hAnsi="Noto Sans" w:cs="Noto Sans"/>
          <w:lang w:val="en-US"/>
        </w:rPr>
      </w:pPr>
      <w:r w:rsidRPr="00B12CB9">
        <w:rPr>
          <w:rFonts w:ascii="Noto Sans" w:hAnsi="Noto Sans" w:cs="Noto Sans"/>
          <w:lang w:val="en"/>
        </w:rPr>
        <w:t xml:space="preserve">The medicinal products transferred from Serbia will be manufactured at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site in more </w:t>
      </w:r>
      <w:r w:rsidRPr="00B12CB9">
        <w:rPr>
          <w:rFonts w:ascii="Noto Sans" w:hAnsi="Noto Sans" w:cs="Noto Sans"/>
          <w:b/>
          <w:bCs/>
          <w:lang w:val="en"/>
        </w:rPr>
        <w:t xml:space="preserve">than </w:t>
      </w:r>
      <w:r w:rsidR="00210F52" w:rsidRPr="00B12CB9">
        <w:rPr>
          <w:rFonts w:ascii="Noto Sans" w:hAnsi="Noto Sans" w:cs="Noto Sans"/>
          <w:b/>
          <w:bCs/>
          <w:lang w:val="en"/>
        </w:rPr>
        <w:t>2.5</w:t>
      </w:r>
      <w:r w:rsidRPr="00B12CB9">
        <w:rPr>
          <w:rFonts w:ascii="Noto Sans" w:hAnsi="Noto Sans" w:cs="Noto Sans"/>
          <w:b/>
          <w:bCs/>
          <w:lang w:val="en"/>
        </w:rPr>
        <w:t xml:space="preserve"> million</w:t>
      </w:r>
      <w:r w:rsidRPr="00B12CB9">
        <w:rPr>
          <w:rFonts w:ascii="Noto Sans" w:hAnsi="Noto Sans" w:cs="Noto Sans"/>
          <w:lang w:val="en"/>
        </w:rPr>
        <w:t xml:space="preserve"> </w:t>
      </w:r>
      <w:r w:rsidR="00210F52" w:rsidRPr="00B12CB9">
        <w:rPr>
          <w:rFonts w:ascii="Noto Sans" w:hAnsi="Noto Sans" w:cs="Noto Sans"/>
          <w:b/>
          <w:bCs/>
          <w:lang w:val="en"/>
        </w:rPr>
        <w:t>suppositories</w:t>
      </w:r>
      <w:r w:rsidRPr="00B12CB9">
        <w:rPr>
          <w:rFonts w:ascii="Noto Sans" w:hAnsi="Noto Sans" w:cs="Noto Sans"/>
          <w:lang w:val="en"/>
        </w:rPr>
        <w:t xml:space="preserve"> per year and will be delivered mainly to the</w:t>
      </w:r>
      <w:r w:rsidR="00210F52" w:rsidRPr="00B12CB9">
        <w:rPr>
          <w:rFonts w:ascii="Noto Sans" w:hAnsi="Noto Sans" w:cs="Noto Sans"/>
          <w:lang w:val="en"/>
        </w:rPr>
        <w:t xml:space="preserve"> Russia,</w:t>
      </w:r>
      <w:r w:rsidRPr="00B12CB9">
        <w:rPr>
          <w:rFonts w:ascii="Noto Sans" w:hAnsi="Noto Sans" w:cs="Noto Sans"/>
          <w:lang w:val="en"/>
        </w:rPr>
        <w:t xml:space="preserve"> </w:t>
      </w:r>
      <w:proofErr w:type="gramStart"/>
      <w:r w:rsidRPr="00B12CB9">
        <w:rPr>
          <w:rFonts w:ascii="Noto Sans" w:hAnsi="Noto Sans" w:cs="Noto Sans"/>
          <w:lang w:val="en"/>
        </w:rPr>
        <w:t>Balkans</w:t>
      </w:r>
      <w:proofErr w:type="gramEnd"/>
      <w:r w:rsidRPr="00B12CB9">
        <w:rPr>
          <w:rFonts w:ascii="Noto Sans" w:hAnsi="Noto Sans" w:cs="Noto Sans"/>
          <w:lang w:val="en"/>
        </w:rPr>
        <w:t xml:space="preserve"> and CIS countries. The medicinal products transferred from the UK will be produced in almost </w:t>
      </w:r>
      <w:r w:rsidR="00210F52" w:rsidRPr="00B12CB9">
        <w:rPr>
          <w:rFonts w:ascii="Noto Sans" w:hAnsi="Noto Sans" w:cs="Noto Sans"/>
          <w:b/>
          <w:bCs/>
          <w:lang w:val="en"/>
        </w:rPr>
        <w:t>3.85</w:t>
      </w:r>
      <w:r w:rsidRPr="00B12CB9">
        <w:rPr>
          <w:rFonts w:ascii="Noto Sans" w:hAnsi="Noto Sans" w:cs="Noto Sans"/>
          <w:b/>
          <w:bCs/>
          <w:lang w:val="en"/>
        </w:rPr>
        <w:t xml:space="preserve"> million</w:t>
      </w:r>
      <w:r w:rsidRPr="00B12CB9">
        <w:rPr>
          <w:rFonts w:ascii="Noto Sans" w:hAnsi="Noto Sans" w:cs="Noto Sans"/>
          <w:lang w:val="en"/>
        </w:rPr>
        <w:t xml:space="preserve"> </w:t>
      </w:r>
      <w:r w:rsidR="00210F52" w:rsidRPr="00B12CB9">
        <w:rPr>
          <w:rFonts w:ascii="Noto Sans" w:hAnsi="Noto Sans" w:cs="Noto Sans"/>
          <w:b/>
          <w:bCs/>
          <w:lang w:val="en"/>
        </w:rPr>
        <w:t>suppositories</w:t>
      </w:r>
      <w:r w:rsidRPr="00B12CB9">
        <w:rPr>
          <w:rFonts w:ascii="Noto Sans" w:hAnsi="Noto Sans" w:cs="Noto Sans"/>
          <w:lang w:val="en"/>
        </w:rPr>
        <w:t xml:space="preserve"> per year and will be delivered to 7 countries, including the UK, United Arab Emirates, and Yemen.</w:t>
      </w:r>
    </w:p>
    <w:p w14:paraId="23997746" w14:textId="77777777" w:rsidR="00CD5A23" w:rsidRPr="00B12CB9" w:rsidRDefault="00B2214F" w:rsidP="00B12CB9">
      <w:pPr>
        <w:ind w:left="-567" w:right="-284"/>
        <w:jc w:val="both"/>
        <w:rPr>
          <w:rFonts w:ascii="Noto Sans" w:hAnsi="Noto Sans" w:cs="Noto Sans"/>
          <w:lang w:val="en-US"/>
        </w:rPr>
      </w:pPr>
      <w:r w:rsidRPr="00B12CB9">
        <w:rPr>
          <w:rFonts w:ascii="Noto Sans" w:hAnsi="Noto Sans" w:cs="Noto Sans"/>
          <w:lang w:val="en"/>
        </w:rPr>
        <w:t xml:space="preserve">In the next three years, STADA plans to invest about 10 million euros in a localization project on the territory of the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site to transfer the production of </w:t>
      </w:r>
      <w:proofErr w:type="gramStart"/>
      <w:r w:rsidRPr="00B12CB9">
        <w:rPr>
          <w:rFonts w:ascii="Noto Sans" w:hAnsi="Noto Sans" w:cs="Noto Sans"/>
          <w:lang w:val="en"/>
        </w:rPr>
        <w:t>a number of</w:t>
      </w:r>
      <w:proofErr w:type="gramEnd"/>
      <w:r w:rsidRPr="00B12CB9">
        <w:rPr>
          <w:rFonts w:ascii="Noto Sans" w:hAnsi="Noto Sans" w:cs="Noto Sans"/>
          <w:lang w:val="en"/>
        </w:rPr>
        <w:t xml:space="preserve"> medicines from its foreign production sites to Russia.</w:t>
      </w:r>
    </w:p>
    <w:p w14:paraId="51817A4A" w14:textId="77777777" w:rsidR="006923A8" w:rsidRPr="00B12CB9" w:rsidRDefault="00B2214F" w:rsidP="00B12CB9">
      <w:pPr>
        <w:ind w:left="-567" w:right="-284"/>
        <w:jc w:val="both"/>
        <w:rPr>
          <w:rFonts w:ascii="Noto Sans" w:hAnsi="Noto Sans" w:cs="Noto Sans"/>
          <w:lang w:val="en-US"/>
        </w:rPr>
      </w:pPr>
      <w:r w:rsidRPr="00B12CB9">
        <w:rPr>
          <w:rFonts w:ascii="Noto Sans" w:hAnsi="Noto Sans" w:cs="Noto Sans"/>
          <w:lang w:val="en"/>
        </w:rPr>
        <w:t xml:space="preserve">The company's efforts to increase export volumes have been awarded in numerous competitions and contests. Thus, according to the results of the last five years, NIZHPHARM is recognized as the best exporter of the Russian pharmaceutical industry in the regional competition of the Ministry of Industry and Trade of the Russian Federation. </w:t>
      </w:r>
    </w:p>
    <w:p w14:paraId="6F3D5C1F" w14:textId="77777777" w:rsidR="004409F7" w:rsidRPr="00B12CB9" w:rsidRDefault="00B2214F" w:rsidP="00B12CB9">
      <w:pPr>
        <w:ind w:left="-567" w:right="-284"/>
        <w:jc w:val="both"/>
        <w:rPr>
          <w:rFonts w:ascii="Noto Sans" w:hAnsi="Noto Sans" w:cs="Noto Sans"/>
          <w:lang w:val="en-US"/>
        </w:rPr>
      </w:pPr>
      <w:r w:rsidRPr="00B12CB9">
        <w:rPr>
          <w:rFonts w:ascii="Noto Sans" w:hAnsi="Noto Sans" w:cs="Noto Sans"/>
          <w:lang w:val="en"/>
        </w:rPr>
        <w:t xml:space="preserve">In 2015,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was included by the Ministry of Industry and Trade of Russia in the List of Companies with a significant impact on the development of industries and trade. </w:t>
      </w:r>
    </w:p>
    <w:p w14:paraId="2003F90A" w14:textId="5C65EF18" w:rsidR="00D759F3" w:rsidRPr="00B12CB9" w:rsidRDefault="00B2214F" w:rsidP="00B12CB9">
      <w:pPr>
        <w:ind w:left="-567" w:right="-284"/>
        <w:jc w:val="both"/>
        <w:rPr>
          <w:rFonts w:ascii="Noto Sans" w:hAnsi="Noto Sans" w:cs="Noto Sans"/>
          <w:lang w:val="en-US"/>
        </w:rPr>
      </w:pPr>
      <w:proofErr w:type="gramStart"/>
      <w:r w:rsidRPr="00B12CB9">
        <w:rPr>
          <w:rFonts w:ascii="Noto Sans" w:hAnsi="Noto Sans" w:cs="Noto Sans"/>
          <w:lang w:val="en"/>
        </w:rPr>
        <w:t>At the moment</w:t>
      </w:r>
      <w:proofErr w:type="gramEnd"/>
      <w:r w:rsidRPr="00B12CB9">
        <w:rPr>
          <w:rFonts w:ascii="Noto Sans" w:hAnsi="Noto Sans" w:cs="Noto Sans"/>
          <w:lang w:val="en"/>
        </w:rPr>
        <w:t xml:space="preserve">, </w:t>
      </w:r>
      <w:proofErr w:type="spellStart"/>
      <w:r w:rsidRPr="00B12CB9">
        <w:rPr>
          <w:rFonts w:ascii="Noto Sans" w:hAnsi="Noto Sans" w:cs="Noto Sans"/>
          <w:lang w:val="en"/>
        </w:rPr>
        <w:t>Nizhpharm</w:t>
      </w:r>
      <w:proofErr w:type="spellEnd"/>
      <w:r w:rsidRPr="00B12CB9">
        <w:rPr>
          <w:rFonts w:ascii="Noto Sans" w:hAnsi="Noto Sans" w:cs="Noto Sans"/>
          <w:lang w:val="en"/>
        </w:rPr>
        <w:t xml:space="preserve"> employs </w:t>
      </w:r>
      <w:r w:rsidRPr="00B12CB9">
        <w:rPr>
          <w:rFonts w:ascii="Noto Sans" w:hAnsi="Noto Sans" w:cs="Noto Sans"/>
          <w:b/>
          <w:bCs/>
          <w:lang w:val="en"/>
        </w:rPr>
        <w:t>more than 1000 people</w:t>
      </w:r>
      <w:r w:rsidRPr="00B12CB9">
        <w:rPr>
          <w:rFonts w:ascii="Noto Sans" w:hAnsi="Noto Sans" w:cs="Noto Sans"/>
          <w:lang w:val="en"/>
        </w:rPr>
        <w:t xml:space="preserve"> and </w:t>
      </w:r>
      <w:r w:rsidRPr="00B12CB9">
        <w:rPr>
          <w:rFonts w:ascii="Noto Sans" w:hAnsi="Noto Sans" w:cs="Noto Sans"/>
          <w:color w:val="000000"/>
          <w:lang w:val="en"/>
        </w:rPr>
        <w:t>manufactures such</w:t>
      </w:r>
      <w:r w:rsidRPr="00B12CB9">
        <w:rPr>
          <w:rFonts w:ascii="Noto Sans" w:hAnsi="Noto Sans" w:cs="Noto Sans"/>
          <w:lang w:val="en"/>
        </w:rPr>
        <w:t xml:space="preserve"> STADA products as: </w:t>
      </w:r>
      <w:proofErr w:type="spellStart"/>
      <w:r w:rsidR="00210F52" w:rsidRPr="00B12CB9">
        <w:rPr>
          <w:rFonts w:ascii="Noto Sans" w:hAnsi="Noto Sans" w:cs="Noto Sans"/>
          <w:b/>
          <w:bCs/>
          <w:lang w:val="en"/>
        </w:rPr>
        <w:t>Vitaprost</w:t>
      </w:r>
      <w:proofErr w:type="spellEnd"/>
      <w:r w:rsidR="00210F52" w:rsidRPr="00B12CB9">
        <w:rPr>
          <w:rFonts w:ascii="Noto Sans" w:hAnsi="Noto Sans" w:cs="Noto Sans"/>
          <w:b/>
          <w:bCs/>
          <w:lang w:val="en"/>
        </w:rPr>
        <w:t xml:space="preserve">, </w:t>
      </w:r>
      <w:proofErr w:type="spellStart"/>
      <w:r w:rsidR="00210F52" w:rsidRPr="00B12CB9">
        <w:rPr>
          <w:rFonts w:ascii="Noto Sans" w:hAnsi="Noto Sans" w:cs="Noto Sans"/>
          <w:b/>
          <w:bCs/>
          <w:lang w:val="en"/>
        </w:rPr>
        <w:t>Levomekol</w:t>
      </w:r>
      <w:proofErr w:type="spellEnd"/>
      <w:r w:rsidR="00210F52" w:rsidRPr="00B12CB9">
        <w:rPr>
          <w:rFonts w:ascii="Noto Sans" w:hAnsi="Noto Sans" w:cs="Noto Sans"/>
          <w:b/>
          <w:bCs/>
          <w:lang w:val="en"/>
        </w:rPr>
        <w:t>,</w:t>
      </w:r>
      <w:r w:rsidR="0054045C" w:rsidRPr="00B12CB9">
        <w:rPr>
          <w:rFonts w:ascii="Noto Sans" w:hAnsi="Noto Sans" w:cs="Noto Sans"/>
          <w:b/>
          <w:bCs/>
          <w:lang w:val="en"/>
        </w:rPr>
        <w:t xml:space="preserve"> </w:t>
      </w:r>
      <w:proofErr w:type="spellStart"/>
      <w:r w:rsidRPr="00B12CB9">
        <w:rPr>
          <w:rFonts w:ascii="Noto Sans" w:hAnsi="Noto Sans" w:cs="Noto Sans"/>
          <w:b/>
          <w:bCs/>
          <w:lang w:val="en"/>
        </w:rPr>
        <w:t>Aqualor</w:t>
      </w:r>
      <w:proofErr w:type="spellEnd"/>
      <w:r w:rsidRPr="00B12CB9">
        <w:rPr>
          <w:rFonts w:ascii="Noto Sans" w:hAnsi="Noto Sans" w:cs="Noto Sans"/>
          <w:b/>
          <w:bCs/>
          <w:lang w:val="en"/>
        </w:rPr>
        <w:t xml:space="preserve">, </w:t>
      </w:r>
      <w:proofErr w:type="spellStart"/>
      <w:r w:rsidR="0054045C" w:rsidRPr="00B12CB9">
        <w:rPr>
          <w:rFonts w:ascii="Noto Sans" w:hAnsi="Noto Sans" w:cs="Noto Sans"/>
          <w:b/>
          <w:bCs/>
          <w:lang w:val="en"/>
        </w:rPr>
        <w:t>Lavomax</w:t>
      </w:r>
      <w:proofErr w:type="spellEnd"/>
      <w:r w:rsidR="0054045C" w:rsidRPr="00B12CB9">
        <w:rPr>
          <w:rFonts w:ascii="Noto Sans" w:hAnsi="Noto Sans" w:cs="Noto Sans"/>
          <w:b/>
          <w:bCs/>
          <w:lang w:val="en"/>
        </w:rPr>
        <w:t xml:space="preserve">, </w:t>
      </w:r>
      <w:proofErr w:type="spellStart"/>
      <w:r w:rsidR="0054045C" w:rsidRPr="00B12CB9">
        <w:rPr>
          <w:rFonts w:ascii="Noto Sans" w:hAnsi="Noto Sans" w:cs="Noto Sans"/>
          <w:b/>
          <w:bCs/>
          <w:lang w:val="en"/>
        </w:rPr>
        <w:t>Natalsid</w:t>
      </w:r>
      <w:proofErr w:type="spellEnd"/>
      <w:r w:rsidR="0054045C" w:rsidRPr="00B12CB9">
        <w:rPr>
          <w:rFonts w:ascii="Noto Sans" w:hAnsi="Noto Sans" w:cs="Noto Sans"/>
          <w:b/>
          <w:bCs/>
          <w:lang w:val="en"/>
        </w:rPr>
        <w:t xml:space="preserve">, </w:t>
      </w:r>
      <w:proofErr w:type="spellStart"/>
      <w:r w:rsidR="0054045C" w:rsidRPr="00B12CB9">
        <w:rPr>
          <w:rFonts w:ascii="Noto Sans" w:hAnsi="Noto Sans" w:cs="Noto Sans"/>
          <w:b/>
          <w:bCs/>
          <w:lang w:val="en"/>
        </w:rPr>
        <w:t>Hexicon</w:t>
      </w:r>
      <w:proofErr w:type="spellEnd"/>
      <w:r w:rsidR="0054045C" w:rsidRPr="00B12CB9">
        <w:rPr>
          <w:rFonts w:ascii="Noto Sans" w:hAnsi="Noto Sans" w:cs="Noto Sans"/>
          <w:b/>
          <w:bCs/>
          <w:lang w:val="en"/>
        </w:rPr>
        <w:t xml:space="preserve">, </w:t>
      </w:r>
      <w:proofErr w:type="spellStart"/>
      <w:r w:rsidR="0054045C" w:rsidRPr="00B12CB9">
        <w:rPr>
          <w:rFonts w:ascii="Noto Sans" w:hAnsi="Noto Sans" w:cs="Noto Sans"/>
          <w:b/>
          <w:bCs/>
          <w:lang w:val="en"/>
        </w:rPr>
        <w:t>Depantol</w:t>
      </w:r>
      <w:proofErr w:type="spellEnd"/>
      <w:r w:rsidR="0054045C" w:rsidRPr="00B12CB9">
        <w:rPr>
          <w:rFonts w:ascii="Noto Sans" w:hAnsi="Noto Sans" w:cs="Noto Sans"/>
          <w:b/>
          <w:bCs/>
          <w:lang w:val="en"/>
        </w:rPr>
        <w:t xml:space="preserve"> </w:t>
      </w:r>
      <w:proofErr w:type="spellStart"/>
      <w:r w:rsidRPr="00B12CB9">
        <w:rPr>
          <w:rFonts w:ascii="Noto Sans" w:hAnsi="Noto Sans" w:cs="Noto Sans"/>
          <w:b/>
          <w:bCs/>
          <w:lang w:val="en"/>
        </w:rPr>
        <w:t>Chondroxide</w:t>
      </w:r>
      <w:proofErr w:type="spellEnd"/>
      <w:r w:rsidRPr="00B12CB9">
        <w:rPr>
          <w:rFonts w:ascii="Noto Sans" w:hAnsi="Noto Sans" w:cs="Noto Sans"/>
          <w:b/>
          <w:bCs/>
          <w:lang w:val="en"/>
        </w:rPr>
        <w:t xml:space="preserve">, </w:t>
      </w:r>
      <w:proofErr w:type="spellStart"/>
      <w:r w:rsidRPr="00B12CB9">
        <w:rPr>
          <w:rFonts w:ascii="Noto Sans" w:hAnsi="Noto Sans" w:cs="Noto Sans"/>
          <w:b/>
          <w:bCs/>
          <w:lang w:val="en"/>
        </w:rPr>
        <w:t>Mataren</w:t>
      </w:r>
      <w:proofErr w:type="spellEnd"/>
      <w:r w:rsidR="00210F52" w:rsidRPr="00B12CB9">
        <w:rPr>
          <w:rFonts w:ascii="Noto Sans" w:hAnsi="Noto Sans" w:cs="Noto Sans"/>
          <w:b/>
          <w:bCs/>
          <w:lang w:val="en"/>
        </w:rPr>
        <w:t xml:space="preserve"> PLUS</w:t>
      </w:r>
      <w:r w:rsidRPr="00B12CB9">
        <w:rPr>
          <w:rFonts w:ascii="Noto Sans" w:hAnsi="Noto Sans" w:cs="Noto Sans"/>
          <w:b/>
          <w:bCs/>
          <w:lang w:val="en"/>
        </w:rPr>
        <w:t>,</w:t>
      </w:r>
      <w:r w:rsidR="00A52309" w:rsidRPr="00B12CB9">
        <w:rPr>
          <w:rFonts w:ascii="Noto Sans" w:hAnsi="Noto Sans" w:cs="Noto Sans"/>
          <w:lang w:val="en"/>
        </w:rPr>
        <w:t xml:space="preserve"> etc.</w:t>
      </w:r>
    </w:p>
    <w:sectPr w:rsidR="00D759F3" w:rsidRPr="00B12CB9" w:rsidSect="00C2685D">
      <w:headerReference w:type="default" r:id="rId11"/>
      <w:footerReference w:type="default" r:id="rId12"/>
      <w:headerReference w:type="first" r:id="rId13"/>
      <w:footerReference w:type="first" r:id="rId14"/>
      <w:pgSz w:w="11906" w:h="16838"/>
      <w:pgMar w:top="3119" w:right="1133" w:bottom="1843" w:left="1843" w:header="0"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D265" w14:textId="77777777" w:rsidR="00DD25E3" w:rsidRDefault="00DD25E3">
      <w:pPr>
        <w:spacing w:after="0" w:line="240" w:lineRule="auto"/>
      </w:pPr>
      <w:r>
        <w:separator/>
      </w:r>
    </w:p>
  </w:endnote>
  <w:endnote w:type="continuationSeparator" w:id="0">
    <w:p w14:paraId="334FECD5" w14:textId="77777777" w:rsidR="00DD25E3" w:rsidRDefault="00DD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oto Sans">
    <w:panose1 w:val="020B0502040504020204"/>
    <w:charset w:val="CC"/>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448026"/>
      <w:docPartObj>
        <w:docPartGallery w:val="Page Numbers (Bottom of Page)"/>
        <w:docPartUnique/>
      </w:docPartObj>
    </w:sdtPr>
    <w:sdtEndPr/>
    <w:sdtContent>
      <w:p w14:paraId="1A41CBA6" w14:textId="77777777" w:rsidR="00F83B68" w:rsidRDefault="00F83B68" w:rsidP="00CC25A5">
        <w:pPr>
          <w:pStyle w:val="a5"/>
          <w:ind w:right="-1561"/>
          <w:jc w:val="right"/>
        </w:pPr>
      </w:p>
      <w:tbl>
        <w:tblPr>
          <w:tblStyle w:val="a9"/>
          <w:tblW w:w="10410"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886"/>
          <w:gridCol w:w="2466"/>
          <w:gridCol w:w="1885"/>
          <w:gridCol w:w="1852"/>
        </w:tblGrid>
        <w:tr w:rsidR="00AF5A91" w:rsidRPr="00B12CB9" w14:paraId="5514811C" w14:textId="77777777" w:rsidTr="00F83B68">
          <w:trPr>
            <w:trHeight w:val="275"/>
          </w:trPr>
          <w:tc>
            <w:tcPr>
              <w:tcW w:w="2321" w:type="dxa"/>
            </w:tcPr>
            <w:p w14:paraId="692E57A6" w14:textId="77777777" w:rsidR="00F83B68" w:rsidRPr="00210F52" w:rsidRDefault="00B2214F" w:rsidP="00F83B68">
              <w:pPr>
                <w:pStyle w:val="a5"/>
                <w:rPr>
                  <w:rFonts w:asciiTheme="majorHAnsi" w:hAnsiTheme="majorHAnsi" w:cstheme="majorHAnsi"/>
                  <w:b/>
                  <w:color w:val="18499B"/>
                  <w:sz w:val="12"/>
                  <w:szCs w:val="12"/>
                  <w:lang w:val="en-US"/>
                </w:rPr>
              </w:pPr>
              <w:proofErr w:type="spellStart"/>
              <w:r w:rsidRPr="00106D58">
                <w:rPr>
                  <w:rFonts w:asciiTheme="majorHAnsi" w:hAnsiTheme="majorHAnsi" w:cstheme="majorHAnsi"/>
                  <w:b/>
                  <w:color w:val="18499B"/>
                  <w:sz w:val="12"/>
                  <w:szCs w:val="12"/>
                  <w:lang w:val="en"/>
                </w:rPr>
                <w:t>Nizhpharm</w:t>
              </w:r>
              <w:proofErr w:type="spellEnd"/>
              <w:r w:rsidRPr="00106D58">
                <w:rPr>
                  <w:rFonts w:asciiTheme="majorHAnsi" w:hAnsiTheme="majorHAnsi" w:cstheme="majorHAnsi"/>
                  <w:b/>
                  <w:color w:val="18499B"/>
                  <w:sz w:val="12"/>
                  <w:szCs w:val="12"/>
                  <w:lang w:val="en"/>
                </w:rPr>
                <w:t xml:space="preserve"> JSC</w:t>
              </w:r>
            </w:p>
            <w:p w14:paraId="31E56BEC"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 xml:space="preserve">7 </w:t>
              </w:r>
              <w:proofErr w:type="spellStart"/>
              <w:r w:rsidRPr="00106D58">
                <w:rPr>
                  <w:rFonts w:asciiTheme="majorHAnsi" w:hAnsiTheme="majorHAnsi" w:cstheme="majorHAnsi"/>
                  <w:sz w:val="12"/>
                  <w:szCs w:val="12"/>
                  <w:lang w:val="en"/>
                </w:rPr>
                <w:t>Salganskaya</w:t>
              </w:r>
              <w:proofErr w:type="spellEnd"/>
              <w:r w:rsidRPr="00106D58">
                <w:rPr>
                  <w:rFonts w:asciiTheme="majorHAnsi" w:hAnsiTheme="majorHAnsi" w:cstheme="majorHAnsi"/>
                  <w:sz w:val="12"/>
                  <w:szCs w:val="12"/>
                  <w:lang w:val="en"/>
                </w:rPr>
                <w:t xml:space="preserve"> </w:t>
              </w:r>
              <w:proofErr w:type="spellStart"/>
              <w:r w:rsidRPr="00106D58">
                <w:rPr>
                  <w:rFonts w:asciiTheme="majorHAnsi" w:hAnsiTheme="majorHAnsi" w:cstheme="majorHAnsi"/>
                  <w:sz w:val="12"/>
                  <w:szCs w:val="12"/>
                  <w:lang w:val="en"/>
                </w:rPr>
                <w:t>st.</w:t>
              </w:r>
              <w:proofErr w:type="spellEnd"/>
              <w:r w:rsidRPr="00106D58">
                <w:rPr>
                  <w:rFonts w:asciiTheme="majorHAnsi" w:hAnsiTheme="majorHAnsi" w:cstheme="majorHAnsi"/>
                  <w:sz w:val="12"/>
                  <w:szCs w:val="12"/>
                  <w:lang w:val="en"/>
                </w:rPr>
                <w:t>, Box 459,</w:t>
              </w:r>
            </w:p>
            <w:p w14:paraId="496A16CC" w14:textId="77777777" w:rsidR="00F83B68" w:rsidRPr="00106D58" w:rsidRDefault="00B2214F" w:rsidP="00F83B68">
              <w:pPr>
                <w:pStyle w:val="a5"/>
                <w:rPr>
                  <w:rFonts w:asciiTheme="majorHAnsi" w:hAnsiTheme="majorHAnsi" w:cstheme="majorHAnsi"/>
                  <w:sz w:val="12"/>
                  <w:szCs w:val="12"/>
                </w:rPr>
              </w:pPr>
              <w:r w:rsidRPr="00106D58">
                <w:rPr>
                  <w:rFonts w:asciiTheme="majorHAnsi" w:hAnsiTheme="majorHAnsi" w:cstheme="majorHAnsi"/>
                  <w:sz w:val="12"/>
                  <w:szCs w:val="12"/>
                  <w:lang w:val="en"/>
                </w:rPr>
                <w:t>Nizhny Novgorod, Russia, 603950</w:t>
              </w:r>
            </w:p>
          </w:tc>
          <w:tc>
            <w:tcPr>
              <w:tcW w:w="1886" w:type="dxa"/>
            </w:tcPr>
            <w:p w14:paraId="05F976B1"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(831) 278 80 88</w:t>
              </w:r>
            </w:p>
            <w:p w14:paraId="4E4B0AF7" w14:textId="77777777" w:rsidR="00F83B68" w:rsidRPr="00210F52" w:rsidRDefault="00B2214F" w:rsidP="00F83B68">
              <w:pPr>
                <w:pStyle w:val="a5"/>
                <w:rPr>
                  <w:rFonts w:asciiTheme="majorHAnsi" w:hAnsiTheme="majorHAnsi" w:cstheme="majorHAnsi"/>
                  <w:sz w:val="12"/>
                  <w:szCs w:val="12"/>
                  <w:lang w:val="en-US"/>
                </w:rPr>
              </w:pPr>
              <w:proofErr w:type="gramStart"/>
              <w:r w:rsidRPr="00106D58">
                <w:rPr>
                  <w:rFonts w:asciiTheme="majorHAnsi" w:hAnsiTheme="majorHAnsi" w:cstheme="majorHAnsi"/>
                  <w:sz w:val="12"/>
                  <w:szCs w:val="12"/>
                  <w:lang w:val="en"/>
                </w:rPr>
                <w:t>fax  +</w:t>
              </w:r>
              <w:proofErr w:type="gramEnd"/>
              <w:r w:rsidRPr="00106D58">
                <w:rPr>
                  <w:rFonts w:asciiTheme="majorHAnsi" w:hAnsiTheme="majorHAnsi" w:cstheme="majorHAnsi"/>
                  <w:sz w:val="12"/>
                  <w:szCs w:val="12"/>
                  <w:lang w:val="en"/>
                </w:rPr>
                <w:t>7 (831) 430 72 13</w:t>
              </w:r>
            </w:p>
            <w:p w14:paraId="2FF07515"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med@stada.ru</w:t>
              </w:r>
            </w:p>
            <w:p w14:paraId="36C867D1"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2466" w:type="dxa"/>
            </w:tcPr>
            <w:p w14:paraId="414397D0" w14:textId="77777777" w:rsidR="00F83B68" w:rsidRPr="00210F52" w:rsidRDefault="00B2214F" w:rsidP="00F83B68">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Moscow Representative Office</w:t>
              </w:r>
            </w:p>
            <w:p w14:paraId="5923ED10" w14:textId="77777777" w:rsidR="00F83B68" w:rsidRPr="00210F52" w:rsidRDefault="00B2214F" w:rsidP="00F83B68">
              <w:pPr>
                <w:pStyle w:val="a5"/>
                <w:rPr>
                  <w:rFonts w:asciiTheme="majorHAnsi" w:hAnsiTheme="majorHAnsi" w:cstheme="majorHAnsi"/>
                  <w:b/>
                  <w:color w:val="18499B"/>
                  <w:sz w:val="12"/>
                  <w:szCs w:val="12"/>
                  <w:lang w:val="en-US"/>
                </w:rPr>
              </w:pPr>
              <w:proofErr w:type="spellStart"/>
              <w:r w:rsidRPr="00106D58">
                <w:rPr>
                  <w:rFonts w:asciiTheme="majorHAnsi" w:hAnsiTheme="majorHAnsi" w:cstheme="majorHAnsi"/>
                  <w:b/>
                  <w:color w:val="18499B"/>
                  <w:sz w:val="12"/>
                  <w:szCs w:val="12"/>
                  <w:lang w:val="en"/>
                </w:rPr>
                <w:t>Nizhpharm</w:t>
              </w:r>
              <w:proofErr w:type="spellEnd"/>
              <w:r w:rsidRPr="00106D58">
                <w:rPr>
                  <w:rFonts w:asciiTheme="majorHAnsi" w:hAnsiTheme="majorHAnsi" w:cstheme="majorHAnsi"/>
                  <w:b/>
                  <w:color w:val="18499B"/>
                  <w:sz w:val="12"/>
                  <w:szCs w:val="12"/>
                  <w:lang w:val="en"/>
                </w:rPr>
                <w:t xml:space="preserve"> JSC</w:t>
              </w:r>
            </w:p>
            <w:p w14:paraId="524A6B3C"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 xml:space="preserve">Block 4, bld. 44 </w:t>
              </w:r>
              <w:proofErr w:type="spellStart"/>
              <w:r w:rsidRPr="00106D58">
                <w:rPr>
                  <w:rFonts w:asciiTheme="majorHAnsi" w:hAnsiTheme="majorHAnsi" w:cstheme="majorHAnsi"/>
                  <w:sz w:val="12"/>
                  <w:szCs w:val="12"/>
                  <w:lang w:val="en"/>
                </w:rPr>
                <w:t>Bolshaya</w:t>
              </w:r>
              <w:proofErr w:type="spellEnd"/>
              <w:r w:rsidRPr="00106D58">
                <w:rPr>
                  <w:rFonts w:asciiTheme="majorHAnsi" w:hAnsiTheme="majorHAnsi" w:cstheme="majorHAnsi"/>
                  <w:sz w:val="12"/>
                  <w:szCs w:val="12"/>
                  <w:lang w:val="en"/>
                </w:rPr>
                <w:t xml:space="preserve"> Ordynka,</w:t>
              </w:r>
            </w:p>
            <w:p w14:paraId="0C00B045" w14:textId="77777777" w:rsidR="00F83B68" w:rsidRPr="00106D58" w:rsidRDefault="00B2214F" w:rsidP="00F83B68">
              <w:pPr>
                <w:pStyle w:val="a5"/>
                <w:rPr>
                  <w:rFonts w:asciiTheme="majorHAnsi" w:hAnsiTheme="majorHAnsi" w:cstheme="majorHAnsi"/>
                  <w:sz w:val="12"/>
                  <w:szCs w:val="12"/>
                </w:rPr>
              </w:pPr>
              <w:r w:rsidRPr="00106D58">
                <w:rPr>
                  <w:rFonts w:asciiTheme="majorHAnsi" w:hAnsiTheme="majorHAnsi" w:cstheme="majorHAnsi"/>
                  <w:sz w:val="12"/>
                  <w:szCs w:val="12"/>
                  <w:lang w:val="en"/>
                </w:rPr>
                <w:t>Moscow, Russia, 119017</w:t>
              </w:r>
            </w:p>
          </w:tc>
          <w:tc>
            <w:tcPr>
              <w:tcW w:w="1885" w:type="dxa"/>
            </w:tcPr>
            <w:p w14:paraId="117707E2"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(495) 797 31 10</w:t>
              </w:r>
            </w:p>
            <w:p w14:paraId="1E762126"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fax +7 (495) 797 31 11</w:t>
              </w:r>
            </w:p>
            <w:p w14:paraId="34E2838D"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moscow@stada.ru</w:t>
              </w:r>
            </w:p>
            <w:p w14:paraId="70DD7C68" w14:textId="77777777" w:rsidR="00F83B68" w:rsidRPr="00210F52" w:rsidRDefault="00B2214F" w:rsidP="00F83B68">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1852" w:type="dxa"/>
            </w:tcPr>
            <w:p w14:paraId="7BFA86DB" w14:textId="77777777" w:rsidR="00F83B68" w:rsidRPr="00210F52" w:rsidRDefault="00F83B68" w:rsidP="00F83B68">
              <w:pPr>
                <w:pStyle w:val="a5"/>
                <w:rPr>
                  <w:rFonts w:asciiTheme="majorHAnsi" w:hAnsiTheme="majorHAnsi" w:cstheme="majorHAnsi"/>
                  <w:sz w:val="12"/>
                  <w:szCs w:val="12"/>
                  <w:lang w:val="en-US"/>
                </w:rPr>
              </w:pPr>
            </w:p>
          </w:tc>
        </w:tr>
      </w:tbl>
      <w:p w14:paraId="0EA9EB43" w14:textId="77777777" w:rsidR="00CC25A5" w:rsidRDefault="00B2214F" w:rsidP="00CC25A5">
        <w:pPr>
          <w:pStyle w:val="a5"/>
          <w:ind w:right="-1561"/>
          <w:jc w:val="right"/>
        </w:pPr>
        <w:r>
          <w:fldChar w:fldCharType="begin"/>
        </w:r>
        <w:r w:rsidR="0076000F">
          <w:instrText xml:space="preserve"> PAGE   \* MERGEFORMAT </w:instrText>
        </w:r>
        <w:r>
          <w:fldChar w:fldCharType="separate"/>
        </w:r>
        <w:r w:rsidR="004409F7">
          <w:rPr>
            <w:noProof/>
          </w:rPr>
          <w:t>2</w:t>
        </w:r>
        <w:r>
          <w:rPr>
            <w:noProof/>
          </w:rPr>
          <w:fldChar w:fldCharType="end"/>
        </w:r>
      </w:p>
    </w:sdtContent>
  </w:sdt>
  <w:p w14:paraId="27B325E2" w14:textId="77777777" w:rsidR="00CC25A5" w:rsidRDefault="00CC25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43"/>
      <w:gridCol w:w="2410"/>
      <w:gridCol w:w="1842"/>
      <w:gridCol w:w="1810"/>
    </w:tblGrid>
    <w:tr w:rsidR="00AF5A91" w14:paraId="2EE65175" w14:textId="77777777" w:rsidTr="00483236">
      <w:trPr>
        <w:trHeight w:val="767"/>
      </w:trPr>
      <w:tc>
        <w:tcPr>
          <w:tcW w:w="2268" w:type="dxa"/>
        </w:tcPr>
        <w:p w14:paraId="06BD9E0C" w14:textId="77777777" w:rsidR="00483236" w:rsidRPr="00106D58" w:rsidRDefault="00483236" w:rsidP="00435A8E">
          <w:pPr>
            <w:pStyle w:val="a5"/>
            <w:rPr>
              <w:rFonts w:asciiTheme="majorHAnsi" w:hAnsiTheme="majorHAnsi" w:cstheme="majorHAnsi"/>
              <w:sz w:val="12"/>
              <w:szCs w:val="12"/>
            </w:rPr>
          </w:pPr>
        </w:p>
      </w:tc>
      <w:tc>
        <w:tcPr>
          <w:tcW w:w="1843" w:type="dxa"/>
        </w:tcPr>
        <w:p w14:paraId="3364E53D" w14:textId="77777777" w:rsidR="00483236" w:rsidRPr="00106D58" w:rsidRDefault="00483236" w:rsidP="00435A8E">
          <w:pPr>
            <w:pStyle w:val="a5"/>
            <w:rPr>
              <w:rFonts w:asciiTheme="majorHAnsi" w:hAnsiTheme="majorHAnsi" w:cstheme="majorHAnsi"/>
              <w:sz w:val="12"/>
              <w:szCs w:val="12"/>
            </w:rPr>
          </w:pPr>
        </w:p>
      </w:tc>
      <w:tc>
        <w:tcPr>
          <w:tcW w:w="2410" w:type="dxa"/>
        </w:tcPr>
        <w:p w14:paraId="40BB1573" w14:textId="77777777" w:rsidR="00483236" w:rsidRPr="00106D58" w:rsidRDefault="00483236" w:rsidP="00435A8E">
          <w:pPr>
            <w:pStyle w:val="a5"/>
            <w:rPr>
              <w:rFonts w:asciiTheme="majorHAnsi" w:hAnsiTheme="majorHAnsi" w:cstheme="majorHAnsi"/>
              <w:sz w:val="12"/>
              <w:szCs w:val="12"/>
            </w:rPr>
          </w:pPr>
        </w:p>
      </w:tc>
      <w:tc>
        <w:tcPr>
          <w:tcW w:w="1842" w:type="dxa"/>
        </w:tcPr>
        <w:p w14:paraId="6432B0C5" w14:textId="77777777" w:rsidR="00483236" w:rsidRPr="00106D58" w:rsidRDefault="00483236" w:rsidP="00435A8E">
          <w:pPr>
            <w:pStyle w:val="a5"/>
            <w:rPr>
              <w:rFonts w:asciiTheme="majorHAnsi" w:hAnsiTheme="majorHAnsi" w:cstheme="majorHAnsi"/>
              <w:sz w:val="12"/>
              <w:szCs w:val="12"/>
            </w:rPr>
          </w:pPr>
        </w:p>
      </w:tc>
      <w:tc>
        <w:tcPr>
          <w:tcW w:w="1810" w:type="dxa"/>
        </w:tcPr>
        <w:p w14:paraId="07B46729" w14:textId="77777777" w:rsidR="00483236" w:rsidRPr="00106D58" w:rsidRDefault="00483236" w:rsidP="00435A8E">
          <w:pPr>
            <w:pStyle w:val="a5"/>
            <w:rPr>
              <w:rFonts w:asciiTheme="majorHAnsi" w:hAnsiTheme="majorHAnsi" w:cstheme="majorHAnsi"/>
              <w:sz w:val="12"/>
              <w:szCs w:val="12"/>
            </w:rPr>
          </w:pPr>
        </w:p>
      </w:tc>
    </w:tr>
  </w:tbl>
  <w:tbl>
    <w:tblPr>
      <w:tblStyle w:val="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43"/>
      <w:gridCol w:w="2410"/>
      <w:gridCol w:w="1842"/>
      <w:gridCol w:w="1810"/>
    </w:tblGrid>
    <w:tr w:rsidR="00AF5A91" w:rsidRPr="00B12CB9" w14:paraId="65883CF7" w14:textId="77777777" w:rsidTr="00A70DF3">
      <w:trPr>
        <w:trHeight w:val="767"/>
      </w:trPr>
      <w:tc>
        <w:tcPr>
          <w:tcW w:w="2268" w:type="dxa"/>
        </w:tcPr>
        <w:p w14:paraId="54CFCCDF" w14:textId="77777777" w:rsidR="00CD0C1F" w:rsidRPr="00210F52" w:rsidRDefault="00B2214F" w:rsidP="00CD0C1F">
          <w:pPr>
            <w:pStyle w:val="a5"/>
            <w:rPr>
              <w:rFonts w:asciiTheme="majorHAnsi" w:hAnsiTheme="majorHAnsi" w:cstheme="majorHAnsi"/>
              <w:b/>
              <w:color w:val="18499B"/>
              <w:sz w:val="12"/>
              <w:szCs w:val="12"/>
              <w:lang w:val="en-US"/>
            </w:rPr>
          </w:pPr>
          <w:proofErr w:type="spellStart"/>
          <w:r w:rsidRPr="00106D58">
            <w:rPr>
              <w:rFonts w:asciiTheme="majorHAnsi" w:hAnsiTheme="majorHAnsi" w:cstheme="majorHAnsi"/>
              <w:b/>
              <w:color w:val="18499B"/>
              <w:sz w:val="12"/>
              <w:szCs w:val="12"/>
              <w:lang w:val="en"/>
            </w:rPr>
            <w:t>Nizhpharm</w:t>
          </w:r>
          <w:proofErr w:type="spellEnd"/>
          <w:r w:rsidRPr="00106D58">
            <w:rPr>
              <w:rFonts w:asciiTheme="majorHAnsi" w:hAnsiTheme="majorHAnsi" w:cstheme="majorHAnsi"/>
              <w:b/>
              <w:color w:val="18499B"/>
              <w:sz w:val="12"/>
              <w:szCs w:val="12"/>
              <w:lang w:val="en"/>
            </w:rPr>
            <w:t xml:space="preserve"> JSC</w:t>
          </w:r>
        </w:p>
        <w:p w14:paraId="42F358E9"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 xml:space="preserve">7 </w:t>
          </w:r>
          <w:proofErr w:type="spellStart"/>
          <w:r w:rsidRPr="00106D58">
            <w:rPr>
              <w:rFonts w:asciiTheme="majorHAnsi" w:hAnsiTheme="majorHAnsi" w:cstheme="majorHAnsi"/>
              <w:sz w:val="12"/>
              <w:szCs w:val="12"/>
              <w:lang w:val="en"/>
            </w:rPr>
            <w:t>Salganskaya</w:t>
          </w:r>
          <w:proofErr w:type="spellEnd"/>
          <w:r w:rsidRPr="00106D58">
            <w:rPr>
              <w:rFonts w:asciiTheme="majorHAnsi" w:hAnsiTheme="majorHAnsi" w:cstheme="majorHAnsi"/>
              <w:sz w:val="12"/>
              <w:szCs w:val="12"/>
              <w:lang w:val="en"/>
            </w:rPr>
            <w:t xml:space="preserve"> </w:t>
          </w:r>
          <w:proofErr w:type="spellStart"/>
          <w:r w:rsidRPr="00106D58">
            <w:rPr>
              <w:rFonts w:asciiTheme="majorHAnsi" w:hAnsiTheme="majorHAnsi" w:cstheme="majorHAnsi"/>
              <w:sz w:val="12"/>
              <w:szCs w:val="12"/>
              <w:lang w:val="en"/>
            </w:rPr>
            <w:t>st.</w:t>
          </w:r>
          <w:proofErr w:type="spellEnd"/>
          <w:r w:rsidRPr="00106D58">
            <w:rPr>
              <w:rFonts w:asciiTheme="majorHAnsi" w:hAnsiTheme="majorHAnsi" w:cstheme="majorHAnsi"/>
              <w:sz w:val="12"/>
              <w:szCs w:val="12"/>
              <w:lang w:val="en"/>
            </w:rPr>
            <w:t>, Box 459,</w:t>
          </w:r>
        </w:p>
        <w:p w14:paraId="0CA6AA94" w14:textId="77777777" w:rsidR="00CD0C1F" w:rsidRPr="00106D58" w:rsidRDefault="00B2214F" w:rsidP="00CD0C1F">
          <w:pPr>
            <w:pStyle w:val="a5"/>
            <w:rPr>
              <w:rFonts w:asciiTheme="majorHAnsi" w:hAnsiTheme="majorHAnsi" w:cstheme="majorHAnsi"/>
              <w:sz w:val="12"/>
              <w:szCs w:val="12"/>
            </w:rPr>
          </w:pPr>
          <w:r w:rsidRPr="00106D58">
            <w:rPr>
              <w:rFonts w:asciiTheme="majorHAnsi" w:hAnsiTheme="majorHAnsi" w:cstheme="majorHAnsi"/>
              <w:sz w:val="12"/>
              <w:szCs w:val="12"/>
              <w:lang w:val="en"/>
            </w:rPr>
            <w:t>Nizhny Novgorod, Russia, 603950</w:t>
          </w:r>
        </w:p>
      </w:tc>
      <w:tc>
        <w:tcPr>
          <w:tcW w:w="1843" w:type="dxa"/>
        </w:tcPr>
        <w:p w14:paraId="70EAB1A0"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(831) 278 80 88</w:t>
          </w:r>
        </w:p>
        <w:p w14:paraId="76AD3A5D" w14:textId="77777777" w:rsidR="00CD0C1F" w:rsidRPr="00210F52" w:rsidRDefault="00B2214F" w:rsidP="00CD0C1F">
          <w:pPr>
            <w:pStyle w:val="a5"/>
            <w:rPr>
              <w:rFonts w:asciiTheme="majorHAnsi" w:hAnsiTheme="majorHAnsi" w:cstheme="majorHAnsi"/>
              <w:sz w:val="12"/>
              <w:szCs w:val="12"/>
              <w:lang w:val="en-US"/>
            </w:rPr>
          </w:pPr>
          <w:proofErr w:type="gramStart"/>
          <w:r w:rsidRPr="00106D58">
            <w:rPr>
              <w:rFonts w:asciiTheme="majorHAnsi" w:hAnsiTheme="majorHAnsi" w:cstheme="majorHAnsi"/>
              <w:sz w:val="12"/>
              <w:szCs w:val="12"/>
              <w:lang w:val="en"/>
            </w:rPr>
            <w:t>fax  +</w:t>
          </w:r>
          <w:proofErr w:type="gramEnd"/>
          <w:r w:rsidRPr="00106D58">
            <w:rPr>
              <w:rFonts w:asciiTheme="majorHAnsi" w:hAnsiTheme="majorHAnsi" w:cstheme="majorHAnsi"/>
              <w:sz w:val="12"/>
              <w:szCs w:val="12"/>
              <w:lang w:val="en"/>
            </w:rPr>
            <w:t>7 (831) 430 72 13</w:t>
          </w:r>
        </w:p>
        <w:p w14:paraId="6EA4E9B5"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med@stada.ru</w:t>
          </w:r>
        </w:p>
        <w:p w14:paraId="47A6C28F"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2410" w:type="dxa"/>
        </w:tcPr>
        <w:p w14:paraId="6382C0E3" w14:textId="77777777" w:rsidR="00CD0C1F" w:rsidRPr="00210F52" w:rsidRDefault="00B2214F" w:rsidP="00CD0C1F">
          <w:pPr>
            <w:pStyle w:val="a5"/>
            <w:rPr>
              <w:rFonts w:asciiTheme="majorHAnsi" w:hAnsiTheme="majorHAnsi" w:cstheme="majorHAnsi"/>
              <w:b/>
              <w:color w:val="18499B"/>
              <w:sz w:val="12"/>
              <w:szCs w:val="12"/>
              <w:lang w:val="en-US"/>
            </w:rPr>
          </w:pPr>
          <w:r w:rsidRPr="00106D58">
            <w:rPr>
              <w:rFonts w:asciiTheme="majorHAnsi" w:hAnsiTheme="majorHAnsi" w:cstheme="majorHAnsi"/>
              <w:b/>
              <w:color w:val="18499B"/>
              <w:sz w:val="12"/>
              <w:szCs w:val="12"/>
              <w:lang w:val="en"/>
            </w:rPr>
            <w:t>Moscow Representative Office</w:t>
          </w:r>
        </w:p>
        <w:p w14:paraId="2A2EB59C" w14:textId="77777777" w:rsidR="00CD0C1F" w:rsidRPr="00210F52" w:rsidRDefault="00B2214F" w:rsidP="00CD0C1F">
          <w:pPr>
            <w:pStyle w:val="a5"/>
            <w:rPr>
              <w:rFonts w:asciiTheme="majorHAnsi" w:hAnsiTheme="majorHAnsi" w:cstheme="majorHAnsi"/>
              <w:b/>
              <w:color w:val="18499B"/>
              <w:sz w:val="12"/>
              <w:szCs w:val="12"/>
              <w:lang w:val="en-US"/>
            </w:rPr>
          </w:pPr>
          <w:proofErr w:type="spellStart"/>
          <w:r w:rsidRPr="00106D58">
            <w:rPr>
              <w:rFonts w:asciiTheme="majorHAnsi" w:hAnsiTheme="majorHAnsi" w:cstheme="majorHAnsi"/>
              <w:b/>
              <w:color w:val="18499B"/>
              <w:sz w:val="12"/>
              <w:szCs w:val="12"/>
              <w:lang w:val="en"/>
            </w:rPr>
            <w:t>Nizhpharm</w:t>
          </w:r>
          <w:proofErr w:type="spellEnd"/>
          <w:r w:rsidRPr="00106D58">
            <w:rPr>
              <w:rFonts w:asciiTheme="majorHAnsi" w:hAnsiTheme="majorHAnsi" w:cstheme="majorHAnsi"/>
              <w:b/>
              <w:color w:val="18499B"/>
              <w:sz w:val="12"/>
              <w:szCs w:val="12"/>
              <w:lang w:val="en"/>
            </w:rPr>
            <w:t xml:space="preserve"> JSC</w:t>
          </w:r>
        </w:p>
        <w:p w14:paraId="5CF9DFC9"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 xml:space="preserve">Block 4, bld. 44 </w:t>
          </w:r>
          <w:proofErr w:type="spellStart"/>
          <w:r w:rsidRPr="00106D58">
            <w:rPr>
              <w:rFonts w:asciiTheme="majorHAnsi" w:hAnsiTheme="majorHAnsi" w:cstheme="majorHAnsi"/>
              <w:sz w:val="12"/>
              <w:szCs w:val="12"/>
              <w:lang w:val="en"/>
            </w:rPr>
            <w:t>Bolshaya</w:t>
          </w:r>
          <w:proofErr w:type="spellEnd"/>
          <w:r w:rsidRPr="00106D58">
            <w:rPr>
              <w:rFonts w:asciiTheme="majorHAnsi" w:hAnsiTheme="majorHAnsi" w:cstheme="majorHAnsi"/>
              <w:sz w:val="12"/>
              <w:szCs w:val="12"/>
              <w:lang w:val="en"/>
            </w:rPr>
            <w:t xml:space="preserve"> Ordynka,</w:t>
          </w:r>
        </w:p>
        <w:p w14:paraId="790B121C" w14:textId="77777777" w:rsidR="00CD0C1F" w:rsidRPr="00106D58" w:rsidRDefault="00B2214F" w:rsidP="00CD0C1F">
          <w:pPr>
            <w:pStyle w:val="a5"/>
            <w:rPr>
              <w:rFonts w:asciiTheme="majorHAnsi" w:hAnsiTheme="majorHAnsi" w:cstheme="majorHAnsi"/>
              <w:sz w:val="12"/>
              <w:szCs w:val="12"/>
            </w:rPr>
          </w:pPr>
          <w:r w:rsidRPr="00106D58">
            <w:rPr>
              <w:rFonts w:asciiTheme="majorHAnsi" w:hAnsiTheme="majorHAnsi" w:cstheme="majorHAnsi"/>
              <w:sz w:val="12"/>
              <w:szCs w:val="12"/>
              <w:lang w:val="en"/>
            </w:rPr>
            <w:t>Moscow, Russia, 119017</w:t>
          </w:r>
        </w:p>
      </w:tc>
      <w:tc>
        <w:tcPr>
          <w:tcW w:w="1842" w:type="dxa"/>
        </w:tcPr>
        <w:p w14:paraId="38C2B22F"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tel.   +7 (495) 797 31 10</w:t>
          </w:r>
        </w:p>
        <w:p w14:paraId="203A9236"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fax +7 (495) 797 31 11</w:t>
          </w:r>
        </w:p>
        <w:p w14:paraId="0207F2FE"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moscow@stada.ru</w:t>
          </w:r>
        </w:p>
        <w:p w14:paraId="0601B7CB" w14:textId="77777777" w:rsidR="00CD0C1F" w:rsidRPr="00210F52" w:rsidRDefault="00B2214F" w:rsidP="00CD0C1F">
          <w:pPr>
            <w:pStyle w:val="a5"/>
            <w:rPr>
              <w:rFonts w:asciiTheme="majorHAnsi" w:hAnsiTheme="majorHAnsi" w:cstheme="majorHAnsi"/>
              <w:sz w:val="12"/>
              <w:szCs w:val="12"/>
              <w:lang w:val="en-US"/>
            </w:rPr>
          </w:pPr>
          <w:r w:rsidRPr="00106D58">
            <w:rPr>
              <w:rFonts w:asciiTheme="majorHAnsi" w:hAnsiTheme="majorHAnsi" w:cstheme="majorHAnsi"/>
              <w:sz w:val="12"/>
              <w:szCs w:val="12"/>
              <w:lang w:val="en"/>
            </w:rPr>
            <w:t>www.stada.ru</w:t>
          </w:r>
        </w:p>
      </w:tc>
      <w:tc>
        <w:tcPr>
          <w:tcW w:w="1810" w:type="dxa"/>
        </w:tcPr>
        <w:p w14:paraId="0AF49F19" w14:textId="77777777" w:rsidR="00CD0C1F" w:rsidRPr="00210F52" w:rsidRDefault="00CD0C1F" w:rsidP="00CD0C1F">
          <w:pPr>
            <w:pStyle w:val="a5"/>
            <w:rPr>
              <w:rFonts w:asciiTheme="majorHAnsi" w:hAnsiTheme="majorHAnsi" w:cstheme="majorHAnsi"/>
              <w:sz w:val="12"/>
              <w:szCs w:val="12"/>
              <w:lang w:val="en-US"/>
            </w:rPr>
          </w:pPr>
        </w:p>
      </w:tc>
    </w:tr>
  </w:tbl>
  <w:p w14:paraId="3697B7D6" w14:textId="77777777" w:rsidR="00B127DB" w:rsidRPr="00210F52" w:rsidRDefault="00B127DB" w:rsidP="00B127DB">
    <w:pPr>
      <w:pStyle w:val="a5"/>
      <w:ind w:left="-851"/>
      <w:rPr>
        <w:rFonts w:asciiTheme="majorHAnsi" w:hAnsiTheme="majorHAnsi" w:cstheme="majorHAnsi"/>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4A83" w14:textId="77777777" w:rsidR="00DD25E3" w:rsidRDefault="00DD25E3">
      <w:pPr>
        <w:spacing w:after="0" w:line="240" w:lineRule="auto"/>
      </w:pPr>
      <w:r>
        <w:separator/>
      </w:r>
    </w:p>
  </w:footnote>
  <w:footnote w:type="continuationSeparator" w:id="0">
    <w:p w14:paraId="230B5D0B" w14:textId="77777777" w:rsidR="00DD25E3" w:rsidRDefault="00DD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06C0" w14:textId="77777777" w:rsidR="00294C70" w:rsidRDefault="00294C70" w:rsidP="00D83C48">
    <w:pPr>
      <w:pStyle w:val="a3"/>
      <w:ind w:left="-1418"/>
      <w:jc w:val="right"/>
    </w:pPr>
  </w:p>
  <w:p w14:paraId="03089DDD" w14:textId="77777777" w:rsidR="00294C70" w:rsidRDefault="00294C70" w:rsidP="00D83C48">
    <w:pPr>
      <w:pStyle w:val="a3"/>
      <w:ind w:left="-1418"/>
      <w:jc w:val="right"/>
    </w:pPr>
  </w:p>
  <w:p w14:paraId="7C9CDDE8" w14:textId="77777777" w:rsidR="00CB02F1" w:rsidRPr="00CB02F1" w:rsidRDefault="00B2214F" w:rsidP="00D83C48">
    <w:pPr>
      <w:pStyle w:val="a3"/>
      <w:ind w:left="-1418"/>
      <w:jc w:val="right"/>
    </w:pPr>
    <w:r>
      <w:rPr>
        <w:noProof/>
      </w:rPr>
      <w:drawing>
        <wp:inline distT="0" distB="0" distL="0" distR="0" wp14:anchorId="709C8D70" wp14:editId="40EAEF88">
          <wp:extent cx="1036320" cy="81724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55478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86BD" w14:textId="77777777" w:rsidR="00130FC5" w:rsidRDefault="00B2214F" w:rsidP="001E4D9F">
    <w:pPr>
      <w:pStyle w:val="a3"/>
      <w:tabs>
        <w:tab w:val="clear" w:pos="4677"/>
        <w:tab w:val="clear" w:pos="9355"/>
        <w:tab w:val="center" w:pos="3968"/>
      </w:tabs>
      <w:ind w:left="-1418"/>
    </w:pPr>
    <w:r>
      <w:tab/>
    </w:r>
  </w:p>
  <w:p w14:paraId="2684FC38" w14:textId="77777777" w:rsidR="00C62933" w:rsidRDefault="00B2214F" w:rsidP="00D83C48">
    <w:pPr>
      <w:pStyle w:val="a3"/>
      <w:ind w:left="-1418"/>
      <w:jc w:val="right"/>
    </w:pPr>
    <w:r>
      <w:rPr>
        <w:noProof/>
      </w:rPr>
      <w:drawing>
        <wp:inline distT="0" distB="0" distL="0" distR="0" wp14:anchorId="0FF41957" wp14:editId="227CC56C">
          <wp:extent cx="1038758" cy="819791"/>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2554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687" cy="851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3CF1"/>
    <w:multiLevelType w:val="hybridMultilevel"/>
    <w:tmpl w:val="DD70CFC2"/>
    <w:lvl w:ilvl="0" w:tplc="2D907AD6">
      <w:start w:val="1"/>
      <w:numFmt w:val="bullet"/>
      <w:lvlText w:val="o"/>
      <w:lvlJc w:val="left"/>
      <w:pPr>
        <w:ind w:left="-273" w:hanging="360"/>
      </w:pPr>
      <w:rPr>
        <w:rFonts w:ascii="Courier New" w:hAnsi="Courier New" w:cs="Courier New" w:hint="default"/>
      </w:rPr>
    </w:lvl>
    <w:lvl w:ilvl="1" w:tplc="E73CA3F0" w:tentative="1">
      <w:start w:val="1"/>
      <w:numFmt w:val="bullet"/>
      <w:lvlText w:val="o"/>
      <w:lvlJc w:val="left"/>
      <w:pPr>
        <w:ind w:left="447" w:hanging="360"/>
      </w:pPr>
      <w:rPr>
        <w:rFonts w:ascii="Courier New" w:hAnsi="Courier New" w:cs="Courier New" w:hint="default"/>
      </w:rPr>
    </w:lvl>
    <w:lvl w:ilvl="2" w:tplc="C6E6E246" w:tentative="1">
      <w:start w:val="1"/>
      <w:numFmt w:val="bullet"/>
      <w:lvlText w:val=""/>
      <w:lvlJc w:val="left"/>
      <w:pPr>
        <w:ind w:left="1167" w:hanging="360"/>
      </w:pPr>
      <w:rPr>
        <w:rFonts w:ascii="Wingdings" w:hAnsi="Wingdings" w:hint="default"/>
      </w:rPr>
    </w:lvl>
    <w:lvl w:ilvl="3" w:tplc="417A36E2" w:tentative="1">
      <w:start w:val="1"/>
      <w:numFmt w:val="bullet"/>
      <w:lvlText w:val=""/>
      <w:lvlJc w:val="left"/>
      <w:pPr>
        <w:ind w:left="1887" w:hanging="360"/>
      </w:pPr>
      <w:rPr>
        <w:rFonts w:ascii="Symbol" w:hAnsi="Symbol" w:hint="default"/>
      </w:rPr>
    </w:lvl>
    <w:lvl w:ilvl="4" w:tplc="C54A55A6" w:tentative="1">
      <w:start w:val="1"/>
      <w:numFmt w:val="bullet"/>
      <w:lvlText w:val="o"/>
      <w:lvlJc w:val="left"/>
      <w:pPr>
        <w:ind w:left="2607" w:hanging="360"/>
      </w:pPr>
      <w:rPr>
        <w:rFonts w:ascii="Courier New" w:hAnsi="Courier New" w:cs="Courier New" w:hint="default"/>
      </w:rPr>
    </w:lvl>
    <w:lvl w:ilvl="5" w:tplc="52A60600" w:tentative="1">
      <w:start w:val="1"/>
      <w:numFmt w:val="bullet"/>
      <w:lvlText w:val=""/>
      <w:lvlJc w:val="left"/>
      <w:pPr>
        <w:ind w:left="3327" w:hanging="360"/>
      </w:pPr>
      <w:rPr>
        <w:rFonts w:ascii="Wingdings" w:hAnsi="Wingdings" w:hint="default"/>
      </w:rPr>
    </w:lvl>
    <w:lvl w:ilvl="6" w:tplc="89E80DDC" w:tentative="1">
      <w:start w:val="1"/>
      <w:numFmt w:val="bullet"/>
      <w:lvlText w:val=""/>
      <w:lvlJc w:val="left"/>
      <w:pPr>
        <w:ind w:left="4047" w:hanging="360"/>
      </w:pPr>
      <w:rPr>
        <w:rFonts w:ascii="Symbol" w:hAnsi="Symbol" w:hint="default"/>
      </w:rPr>
    </w:lvl>
    <w:lvl w:ilvl="7" w:tplc="F1142A34" w:tentative="1">
      <w:start w:val="1"/>
      <w:numFmt w:val="bullet"/>
      <w:lvlText w:val="o"/>
      <w:lvlJc w:val="left"/>
      <w:pPr>
        <w:ind w:left="4767" w:hanging="360"/>
      </w:pPr>
      <w:rPr>
        <w:rFonts w:ascii="Courier New" w:hAnsi="Courier New" w:cs="Courier New" w:hint="default"/>
      </w:rPr>
    </w:lvl>
    <w:lvl w:ilvl="8" w:tplc="76783FBA" w:tentative="1">
      <w:start w:val="1"/>
      <w:numFmt w:val="bullet"/>
      <w:lvlText w:val=""/>
      <w:lvlJc w:val="left"/>
      <w:pPr>
        <w:ind w:left="5487" w:hanging="360"/>
      </w:pPr>
      <w:rPr>
        <w:rFonts w:ascii="Wingdings" w:hAnsi="Wingdings" w:hint="default"/>
      </w:rPr>
    </w:lvl>
  </w:abstractNum>
  <w:abstractNum w:abstractNumId="1" w15:restartNumberingAfterBreak="0">
    <w:nsid w:val="24BF6E39"/>
    <w:multiLevelType w:val="hybridMultilevel"/>
    <w:tmpl w:val="6D9092FE"/>
    <w:lvl w:ilvl="0" w:tplc="911E90DC">
      <w:numFmt w:val="bullet"/>
      <w:lvlText w:val=""/>
      <w:lvlJc w:val="left"/>
      <w:pPr>
        <w:ind w:left="77" w:hanging="360"/>
      </w:pPr>
      <w:rPr>
        <w:rFonts w:ascii="Symbol" w:eastAsiaTheme="minorEastAsia" w:hAnsi="Symbol" w:cs="Segoe UI" w:hint="default"/>
      </w:rPr>
    </w:lvl>
    <w:lvl w:ilvl="1" w:tplc="F034892A" w:tentative="1">
      <w:start w:val="1"/>
      <w:numFmt w:val="bullet"/>
      <w:lvlText w:val="o"/>
      <w:lvlJc w:val="left"/>
      <w:pPr>
        <w:ind w:left="797" w:hanging="360"/>
      </w:pPr>
      <w:rPr>
        <w:rFonts w:ascii="Courier New" w:hAnsi="Courier New" w:cs="Courier New" w:hint="default"/>
      </w:rPr>
    </w:lvl>
    <w:lvl w:ilvl="2" w:tplc="8FD67484" w:tentative="1">
      <w:start w:val="1"/>
      <w:numFmt w:val="bullet"/>
      <w:lvlText w:val=""/>
      <w:lvlJc w:val="left"/>
      <w:pPr>
        <w:ind w:left="1517" w:hanging="360"/>
      </w:pPr>
      <w:rPr>
        <w:rFonts w:ascii="Wingdings" w:hAnsi="Wingdings" w:hint="default"/>
      </w:rPr>
    </w:lvl>
    <w:lvl w:ilvl="3" w:tplc="61B02070" w:tentative="1">
      <w:start w:val="1"/>
      <w:numFmt w:val="bullet"/>
      <w:lvlText w:val=""/>
      <w:lvlJc w:val="left"/>
      <w:pPr>
        <w:ind w:left="2237" w:hanging="360"/>
      </w:pPr>
      <w:rPr>
        <w:rFonts w:ascii="Symbol" w:hAnsi="Symbol" w:hint="default"/>
      </w:rPr>
    </w:lvl>
    <w:lvl w:ilvl="4" w:tplc="E30CEDD0" w:tentative="1">
      <w:start w:val="1"/>
      <w:numFmt w:val="bullet"/>
      <w:lvlText w:val="o"/>
      <w:lvlJc w:val="left"/>
      <w:pPr>
        <w:ind w:left="2957" w:hanging="360"/>
      </w:pPr>
      <w:rPr>
        <w:rFonts w:ascii="Courier New" w:hAnsi="Courier New" w:cs="Courier New" w:hint="default"/>
      </w:rPr>
    </w:lvl>
    <w:lvl w:ilvl="5" w:tplc="C568C148" w:tentative="1">
      <w:start w:val="1"/>
      <w:numFmt w:val="bullet"/>
      <w:lvlText w:val=""/>
      <w:lvlJc w:val="left"/>
      <w:pPr>
        <w:ind w:left="3677" w:hanging="360"/>
      </w:pPr>
      <w:rPr>
        <w:rFonts w:ascii="Wingdings" w:hAnsi="Wingdings" w:hint="default"/>
      </w:rPr>
    </w:lvl>
    <w:lvl w:ilvl="6" w:tplc="7DB865E2" w:tentative="1">
      <w:start w:val="1"/>
      <w:numFmt w:val="bullet"/>
      <w:lvlText w:val=""/>
      <w:lvlJc w:val="left"/>
      <w:pPr>
        <w:ind w:left="4397" w:hanging="360"/>
      </w:pPr>
      <w:rPr>
        <w:rFonts w:ascii="Symbol" w:hAnsi="Symbol" w:hint="default"/>
      </w:rPr>
    </w:lvl>
    <w:lvl w:ilvl="7" w:tplc="21AAEF4A" w:tentative="1">
      <w:start w:val="1"/>
      <w:numFmt w:val="bullet"/>
      <w:lvlText w:val="o"/>
      <w:lvlJc w:val="left"/>
      <w:pPr>
        <w:ind w:left="5117" w:hanging="360"/>
      </w:pPr>
      <w:rPr>
        <w:rFonts w:ascii="Courier New" w:hAnsi="Courier New" w:cs="Courier New" w:hint="default"/>
      </w:rPr>
    </w:lvl>
    <w:lvl w:ilvl="8" w:tplc="86B2C3B6" w:tentative="1">
      <w:start w:val="1"/>
      <w:numFmt w:val="bullet"/>
      <w:lvlText w:val=""/>
      <w:lvlJc w:val="left"/>
      <w:pPr>
        <w:ind w:left="5837" w:hanging="360"/>
      </w:pPr>
      <w:rPr>
        <w:rFonts w:ascii="Wingdings" w:hAnsi="Wingdings" w:hint="default"/>
      </w:rPr>
    </w:lvl>
  </w:abstractNum>
  <w:abstractNum w:abstractNumId="2" w15:restartNumberingAfterBreak="0">
    <w:nsid w:val="3EDC34A7"/>
    <w:multiLevelType w:val="multilevel"/>
    <w:tmpl w:val="5CB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9505A"/>
    <w:multiLevelType w:val="multilevel"/>
    <w:tmpl w:val="841CC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F349DD"/>
    <w:multiLevelType w:val="multilevel"/>
    <w:tmpl w:val="EBD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22391"/>
    <w:multiLevelType w:val="hybridMultilevel"/>
    <w:tmpl w:val="7AA0CBF4"/>
    <w:lvl w:ilvl="0" w:tplc="BF0A7C0C">
      <w:start w:val="1"/>
      <w:numFmt w:val="bullet"/>
      <w:lvlText w:val="o"/>
      <w:lvlJc w:val="left"/>
      <w:pPr>
        <w:ind w:left="-273" w:hanging="360"/>
      </w:pPr>
      <w:rPr>
        <w:rFonts w:ascii="Courier New" w:hAnsi="Courier New" w:cs="Courier New" w:hint="default"/>
      </w:rPr>
    </w:lvl>
    <w:lvl w:ilvl="1" w:tplc="7D5839C8" w:tentative="1">
      <w:start w:val="1"/>
      <w:numFmt w:val="bullet"/>
      <w:lvlText w:val="o"/>
      <w:lvlJc w:val="left"/>
      <w:pPr>
        <w:ind w:left="447" w:hanging="360"/>
      </w:pPr>
      <w:rPr>
        <w:rFonts w:ascii="Courier New" w:hAnsi="Courier New" w:cs="Courier New" w:hint="default"/>
      </w:rPr>
    </w:lvl>
    <w:lvl w:ilvl="2" w:tplc="0346E9E4" w:tentative="1">
      <w:start w:val="1"/>
      <w:numFmt w:val="bullet"/>
      <w:lvlText w:val=""/>
      <w:lvlJc w:val="left"/>
      <w:pPr>
        <w:ind w:left="1167" w:hanging="360"/>
      </w:pPr>
      <w:rPr>
        <w:rFonts w:ascii="Wingdings" w:hAnsi="Wingdings" w:hint="default"/>
      </w:rPr>
    </w:lvl>
    <w:lvl w:ilvl="3" w:tplc="653AE0F6" w:tentative="1">
      <w:start w:val="1"/>
      <w:numFmt w:val="bullet"/>
      <w:lvlText w:val=""/>
      <w:lvlJc w:val="left"/>
      <w:pPr>
        <w:ind w:left="1887" w:hanging="360"/>
      </w:pPr>
      <w:rPr>
        <w:rFonts w:ascii="Symbol" w:hAnsi="Symbol" w:hint="default"/>
      </w:rPr>
    </w:lvl>
    <w:lvl w:ilvl="4" w:tplc="C64E5318" w:tentative="1">
      <w:start w:val="1"/>
      <w:numFmt w:val="bullet"/>
      <w:lvlText w:val="o"/>
      <w:lvlJc w:val="left"/>
      <w:pPr>
        <w:ind w:left="2607" w:hanging="360"/>
      </w:pPr>
      <w:rPr>
        <w:rFonts w:ascii="Courier New" w:hAnsi="Courier New" w:cs="Courier New" w:hint="default"/>
      </w:rPr>
    </w:lvl>
    <w:lvl w:ilvl="5" w:tplc="2884DD38" w:tentative="1">
      <w:start w:val="1"/>
      <w:numFmt w:val="bullet"/>
      <w:lvlText w:val=""/>
      <w:lvlJc w:val="left"/>
      <w:pPr>
        <w:ind w:left="3327" w:hanging="360"/>
      </w:pPr>
      <w:rPr>
        <w:rFonts w:ascii="Wingdings" w:hAnsi="Wingdings" w:hint="default"/>
      </w:rPr>
    </w:lvl>
    <w:lvl w:ilvl="6" w:tplc="6D06F594" w:tentative="1">
      <w:start w:val="1"/>
      <w:numFmt w:val="bullet"/>
      <w:lvlText w:val=""/>
      <w:lvlJc w:val="left"/>
      <w:pPr>
        <w:ind w:left="4047" w:hanging="360"/>
      </w:pPr>
      <w:rPr>
        <w:rFonts w:ascii="Symbol" w:hAnsi="Symbol" w:hint="default"/>
      </w:rPr>
    </w:lvl>
    <w:lvl w:ilvl="7" w:tplc="C5D2B1B8" w:tentative="1">
      <w:start w:val="1"/>
      <w:numFmt w:val="bullet"/>
      <w:lvlText w:val="o"/>
      <w:lvlJc w:val="left"/>
      <w:pPr>
        <w:ind w:left="4767" w:hanging="360"/>
      </w:pPr>
      <w:rPr>
        <w:rFonts w:ascii="Courier New" w:hAnsi="Courier New" w:cs="Courier New" w:hint="default"/>
      </w:rPr>
    </w:lvl>
    <w:lvl w:ilvl="8" w:tplc="679E9FD2" w:tentative="1">
      <w:start w:val="1"/>
      <w:numFmt w:val="bullet"/>
      <w:lvlText w:val=""/>
      <w:lvlJc w:val="left"/>
      <w:pPr>
        <w:ind w:left="5487"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45"/>
    <w:rsid w:val="00006E3B"/>
    <w:rsid w:val="00012942"/>
    <w:rsid w:val="000253AF"/>
    <w:rsid w:val="00041C92"/>
    <w:rsid w:val="00052385"/>
    <w:rsid w:val="00053B2C"/>
    <w:rsid w:val="000745B1"/>
    <w:rsid w:val="000C1618"/>
    <w:rsid w:val="000C6F0C"/>
    <w:rsid w:val="000E0286"/>
    <w:rsid w:val="000E327F"/>
    <w:rsid w:val="00106D58"/>
    <w:rsid w:val="00111C24"/>
    <w:rsid w:val="00130FC5"/>
    <w:rsid w:val="00140B12"/>
    <w:rsid w:val="00141A14"/>
    <w:rsid w:val="00155979"/>
    <w:rsid w:val="00175CE4"/>
    <w:rsid w:val="001828FA"/>
    <w:rsid w:val="00192941"/>
    <w:rsid w:val="001A5E31"/>
    <w:rsid w:val="001B0C2B"/>
    <w:rsid w:val="001C672C"/>
    <w:rsid w:val="001D149A"/>
    <w:rsid w:val="001D2917"/>
    <w:rsid w:val="001D42E3"/>
    <w:rsid w:val="001D71FA"/>
    <w:rsid w:val="001E4D9F"/>
    <w:rsid w:val="00202CB4"/>
    <w:rsid w:val="0020699D"/>
    <w:rsid w:val="00210F52"/>
    <w:rsid w:val="00225C2C"/>
    <w:rsid w:val="00230D27"/>
    <w:rsid w:val="00257C16"/>
    <w:rsid w:val="002910BC"/>
    <w:rsid w:val="00294C70"/>
    <w:rsid w:val="002B13BC"/>
    <w:rsid w:val="002B58C1"/>
    <w:rsid w:val="002E374D"/>
    <w:rsid w:val="002F3633"/>
    <w:rsid w:val="00310E28"/>
    <w:rsid w:val="0031785E"/>
    <w:rsid w:val="003330B6"/>
    <w:rsid w:val="00353DA2"/>
    <w:rsid w:val="003579A8"/>
    <w:rsid w:val="00377EEE"/>
    <w:rsid w:val="00380921"/>
    <w:rsid w:val="003C2860"/>
    <w:rsid w:val="003D7EE5"/>
    <w:rsid w:val="003E6548"/>
    <w:rsid w:val="003F0145"/>
    <w:rsid w:val="00400898"/>
    <w:rsid w:val="00430721"/>
    <w:rsid w:val="00435A8E"/>
    <w:rsid w:val="004409F7"/>
    <w:rsid w:val="004414D1"/>
    <w:rsid w:val="00451FE5"/>
    <w:rsid w:val="00464484"/>
    <w:rsid w:val="0047144C"/>
    <w:rsid w:val="00475A50"/>
    <w:rsid w:val="00482679"/>
    <w:rsid w:val="00483236"/>
    <w:rsid w:val="004C55FE"/>
    <w:rsid w:val="004E455C"/>
    <w:rsid w:val="00525C28"/>
    <w:rsid w:val="00526787"/>
    <w:rsid w:val="0054045C"/>
    <w:rsid w:val="00541446"/>
    <w:rsid w:val="00546230"/>
    <w:rsid w:val="00572E8C"/>
    <w:rsid w:val="005734F7"/>
    <w:rsid w:val="005D3FB3"/>
    <w:rsid w:val="005E0EFF"/>
    <w:rsid w:val="005E12A8"/>
    <w:rsid w:val="00657D9C"/>
    <w:rsid w:val="00673783"/>
    <w:rsid w:val="006830F4"/>
    <w:rsid w:val="00691B95"/>
    <w:rsid w:val="006923A8"/>
    <w:rsid w:val="00692D6B"/>
    <w:rsid w:val="0069435E"/>
    <w:rsid w:val="00696C4B"/>
    <w:rsid w:val="006A1B4E"/>
    <w:rsid w:val="006B264D"/>
    <w:rsid w:val="006C3D32"/>
    <w:rsid w:val="006E66A9"/>
    <w:rsid w:val="006F062F"/>
    <w:rsid w:val="006F424E"/>
    <w:rsid w:val="007049C4"/>
    <w:rsid w:val="00715E45"/>
    <w:rsid w:val="00746EEC"/>
    <w:rsid w:val="00754617"/>
    <w:rsid w:val="0076000F"/>
    <w:rsid w:val="007820A7"/>
    <w:rsid w:val="00793CBF"/>
    <w:rsid w:val="007B73AB"/>
    <w:rsid w:val="007D2082"/>
    <w:rsid w:val="007E1693"/>
    <w:rsid w:val="007E4329"/>
    <w:rsid w:val="007F283B"/>
    <w:rsid w:val="007F7188"/>
    <w:rsid w:val="0081355B"/>
    <w:rsid w:val="00847AB8"/>
    <w:rsid w:val="0087615B"/>
    <w:rsid w:val="00876E86"/>
    <w:rsid w:val="008858CB"/>
    <w:rsid w:val="00891F10"/>
    <w:rsid w:val="008939C4"/>
    <w:rsid w:val="008A3254"/>
    <w:rsid w:val="008A337A"/>
    <w:rsid w:val="008B1FD1"/>
    <w:rsid w:val="008D5148"/>
    <w:rsid w:val="008E2B9B"/>
    <w:rsid w:val="008F3AA2"/>
    <w:rsid w:val="008F4372"/>
    <w:rsid w:val="0090023F"/>
    <w:rsid w:val="00901E2C"/>
    <w:rsid w:val="00937A6D"/>
    <w:rsid w:val="00950A4D"/>
    <w:rsid w:val="00964C40"/>
    <w:rsid w:val="00973E6E"/>
    <w:rsid w:val="009A3128"/>
    <w:rsid w:val="009E1893"/>
    <w:rsid w:val="009E5FDE"/>
    <w:rsid w:val="00A33952"/>
    <w:rsid w:val="00A46A90"/>
    <w:rsid w:val="00A52309"/>
    <w:rsid w:val="00A620A3"/>
    <w:rsid w:val="00A67831"/>
    <w:rsid w:val="00A95A9F"/>
    <w:rsid w:val="00AC67D3"/>
    <w:rsid w:val="00AF5A91"/>
    <w:rsid w:val="00B01D1D"/>
    <w:rsid w:val="00B127DB"/>
    <w:rsid w:val="00B12CB9"/>
    <w:rsid w:val="00B2214F"/>
    <w:rsid w:val="00B37E44"/>
    <w:rsid w:val="00B50790"/>
    <w:rsid w:val="00B6581A"/>
    <w:rsid w:val="00B9188C"/>
    <w:rsid w:val="00B96B8D"/>
    <w:rsid w:val="00BF196C"/>
    <w:rsid w:val="00C2685D"/>
    <w:rsid w:val="00C45EB6"/>
    <w:rsid w:val="00C462C5"/>
    <w:rsid w:val="00C5000A"/>
    <w:rsid w:val="00C50924"/>
    <w:rsid w:val="00C62933"/>
    <w:rsid w:val="00C8464B"/>
    <w:rsid w:val="00C87C5B"/>
    <w:rsid w:val="00C943BF"/>
    <w:rsid w:val="00C96F18"/>
    <w:rsid w:val="00CA4608"/>
    <w:rsid w:val="00CB02F1"/>
    <w:rsid w:val="00CB6198"/>
    <w:rsid w:val="00CC25A5"/>
    <w:rsid w:val="00CD0C1F"/>
    <w:rsid w:val="00CD5A23"/>
    <w:rsid w:val="00CF6C14"/>
    <w:rsid w:val="00D20196"/>
    <w:rsid w:val="00D30C44"/>
    <w:rsid w:val="00D35A26"/>
    <w:rsid w:val="00D45E74"/>
    <w:rsid w:val="00D478C6"/>
    <w:rsid w:val="00D479D2"/>
    <w:rsid w:val="00D759F3"/>
    <w:rsid w:val="00D8171D"/>
    <w:rsid w:val="00D830AD"/>
    <w:rsid w:val="00D83C48"/>
    <w:rsid w:val="00D85FDC"/>
    <w:rsid w:val="00DA3CE3"/>
    <w:rsid w:val="00DA789B"/>
    <w:rsid w:val="00DB15D1"/>
    <w:rsid w:val="00DC7AF5"/>
    <w:rsid w:val="00DD25E3"/>
    <w:rsid w:val="00DD65FA"/>
    <w:rsid w:val="00E20E96"/>
    <w:rsid w:val="00E26E29"/>
    <w:rsid w:val="00E33583"/>
    <w:rsid w:val="00E55ED6"/>
    <w:rsid w:val="00E61A37"/>
    <w:rsid w:val="00E639EF"/>
    <w:rsid w:val="00E6432E"/>
    <w:rsid w:val="00E67B76"/>
    <w:rsid w:val="00E7011B"/>
    <w:rsid w:val="00E762A3"/>
    <w:rsid w:val="00E921C5"/>
    <w:rsid w:val="00E926AD"/>
    <w:rsid w:val="00EA5099"/>
    <w:rsid w:val="00EB0412"/>
    <w:rsid w:val="00EC2D50"/>
    <w:rsid w:val="00EC31FF"/>
    <w:rsid w:val="00EF3B06"/>
    <w:rsid w:val="00F0156A"/>
    <w:rsid w:val="00F01ACD"/>
    <w:rsid w:val="00F33251"/>
    <w:rsid w:val="00F603E4"/>
    <w:rsid w:val="00F83B68"/>
    <w:rsid w:val="00F93B2C"/>
    <w:rsid w:val="00FA51BF"/>
    <w:rsid w:val="00FA7378"/>
    <w:rsid w:val="00FC2C5A"/>
    <w:rsid w:val="00FF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18D6"/>
  <w15:docId w15:val="{0988F899-CA0B-4F56-8385-98E0CCA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1B"/>
  </w:style>
  <w:style w:type="paragraph" w:styleId="2">
    <w:name w:val="heading 2"/>
    <w:basedOn w:val="a"/>
    <w:link w:val="20"/>
    <w:uiPriority w:val="9"/>
    <w:qFormat/>
    <w:rsid w:val="00CC2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E45"/>
  </w:style>
  <w:style w:type="paragraph" w:styleId="a5">
    <w:name w:val="footer"/>
    <w:basedOn w:val="a"/>
    <w:link w:val="a6"/>
    <w:uiPriority w:val="99"/>
    <w:unhideWhenUsed/>
    <w:rsid w:val="00715E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E45"/>
  </w:style>
  <w:style w:type="character" w:customStyle="1" w:styleId="20">
    <w:name w:val="Заголовок 2 Знак"/>
    <w:basedOn w:val="a0"/>
    <w:link w:val="2"/>
    <w:uiPriority w:val="9"/>
    <w:rsid w:val="00CC25A5"/>
    <w:rPr>
      <w:rFonts w:ascii="Times New Roman" w:eastAsia="Times New Roman" w:hAnsi="Times New Roman" w:cs="Times New Roman"/>
      <w:b/>
      <w:bCs/>
      <w:sz w:val="36"/>
      <w:szCs w:val="36"/>
    </w:rPr>
  </w:style>
  <w:style w:type="paragraph" w:styleId="a7">
    <w:name w:val="Normal (Web)"/>
    <w:basedOn w:val="a"/>
    <w:uiPriority w:val="99"/>
    <w:semiHidden/>
    <w:unhideWhenUsed/>
    <w:rsid w:val="00CC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25A5"/>
  </w:style>
  <w:style w:type="character" w:styleId="a8">
    <w:name w:val="Strong"/>
    <w:basedOn w:val="a0"/>
    <w:uiPriority w:val="22"/>
    <w:qFormat/>
    <w:rsid w:val="00CC25A5"/>
    <w:rPr>
      <w:b/>
      <w:bCs/>
    </w:rPr>
  </w:style>
  <w:style w:type="table" w:styleId="a9">
    <w:name w:val="Table Grid"/>
    <w:basedOn w:val="a1"/>
    <w:uiPriority w:val="59"/>
    <w:rsid w:val="00B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27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7DB"/>
    <w:rPr>
      <w:rFonts w:ascii="Tahoma" w:hAnsi="Tahoma" w:cs="Tahoma"/>
      <w:sz w:val="16"/>
      <w:szCs w:val="16"/>
    </w:rPr>
  </w:style>
  <w:style w:type="paragraph" w:styleId="ac">
    <w:name w:val="footnote text"/>
    <w:basedOn w:val="a"/>
    <w:link w:val="ad"/>
    <w:uiPriority w:val="99"/>
    <w:semiHidden/>
    <w:unhideWhenUsed/>
    <w:rsid w:val="00891F10"/>
    <w:pPr>
      <w:spacing w:after="0" w:line="240" w:lineRule="auto"/>
    </w:pPr>
    <w:rPr>
      <w:sz w:val="20"/>
      <w:szCs w:val="20"/>
    </w:rPr>
  </w:style>
  <w:style w:type="character" w:customStyle="1" w:styleId="ad">
    <w:name w:val="Текст сноски Знак"/>
    <w:basedOn w:val="a0"/>
    <w:link w:val="ac"/>
    <w:uiPriority w:val="99"/>
    <w:semiHidden/>
    <w:rsid w:val="00891F10"/>
    <w:rPr>
      <w:sz w:val="20"/>
      <w:szCs w:val="20"/>
    </w:rPr>
  </w:style>
  <w:style w:type="character" w:styleId="ae">
    <w:name w:val="footnote reference"/>
    <w:basedOn w:val="a0"/>
    <w:uiPriority w:val="99"/>
    <w:semiHidden/>
    <w:unhideWhenUsed/>
    <w:rsid w:val="00891F10"/>
    <w:rPr>
      <w:vertAlign w:val="superscript"/>
    </w:rPr>
  </w:style>
  <w:style w:type="character" w:styleId="af">
    <w:name w:val="annotation reference"/>
    <w:basedOn w:val="a0"/>
    <w:uiPriority w:val="99"/>
    <w:semiHidden/>
    <w:unhideWhenUsed/>
    <w:rsid w:val="00696C4B"/>
    <w:rPr>
      <w:sz w:val="16"/>
      <w:szCs w:val="16"/>
    </w:rPr>
  </w:style>
  <w:style w:type="paragraph" w:styleId="af0">
    <w:name w:val="annotation text"/>
    <w:basedOn w:val="a"/>
    <w:link w:val="af1"/>
    <w:uiPriority w:val="99"/>
    <w:semiHidden/>
    <w:unhideWhenUsed/>
    <w:rsid w:val="00696C4B"/>
    <w:pPr>
      <w:spacing w:line="240" w:lineRule="auto"/>
    </w:pPr>
    <w:rPr>
      <w:sz w:val="20"/>
      <w:szCs w:val="20"/>
    </w:rPr>
  </w:style>
  <w:style w:type="character" w:customStyle="1" w:styleId="af1">
    <w:name w:val="Текст примечания Знак"/>
    <w:basedOn w:val="a0"/>
    <w:link w:val="af0"/>
    <w:uiPriority w:val="99"/>
    <w:semiHidden/>
    <w:rsid w:val="00696C4B"/>
    <w:rPr>
      <w:sz w:val="20"/>
      <w:szCs w:val="20"/>
    </w:rPr>
  </w:style>
  <w:style w:type="paragraph" w:styleId="af2">
    <w:name w:val="annotation subject"/>
    <w:basedOn w:val="af0"/>
    <w:next w:val="af0"/>
    <w:link w:val="af3"/>
    <w:uiPriority w:val="99"/>
    <w:semiHidden/>
    <w:unhideWhenUsed/>
    <w:rsid w:val="00696C4B"/>
    <w:rPr>
      <w:b/>
      <w:bCs/>
    </w:rPr>
  </w:style>
  <w:style w:type="character" w:customStyle="1" w:styleId="af3">
    <w:name w:val="Тема примечания Знак"/>
    <w:basedOn w:val="af1"/>
    <w:link w:val="af2"/>
    <w:uiPriority w:val="99"/>
    <w:semiHidden/>
    <w:rsid w:val="00696C4B"/>
    <w:rPr>
      <w:b/>
      <w:bCs/>
      <w:sz w:val="20"/>
      <w:szCs w:val="20"/>
    </w:rPr>
  </w:style>
  <w:style w:type="character" w:styleId="af4">
    <w:name w:val="Hyperlink"/>
    <w:basedOn w:val="a0"/>
    <w:uiPriority w:val="99"/>
    <w:unhideWhenUsed/>
    <w:rsid w:val="007E4329"/>
    <w:rPr>
      <w:color w:val="0000FF" w:themeColor="hyperlink"/>
      <w:u w:val="single"/>
    </w:rPr>
  </w:style>
  <w:style w:type="character" w:customStyle="1" w:styleId="tlid-translation">
    <w:name w:val="tlid-translation"/>
    <w:basedOn w:val="a0"/>
    <w:rsid w:val="00572E8C"/>
  </w:style>
  <w:style w:type="paragraph" w:styleId="af5">
    <w:name w:val="List Paragraph"/>
    <w:basedOn w:val="a"/>
    <w:uiPriority w:val="34"/>
    <w:qFormat/>
    <w:rsid w:val="00EC31FF"/>
    <w:pPr>
      <w:ind w:left="720"/>
      <w:contextualSpacing/>
    </w:pPr>
  </w:style>
  <w:style w:type="table" w:customStyle="1" w:styleId="1">
    <w:name w:val="Сетка таблицы1"/>
    <w:basedOn w:val="a1"/>
    <w:next w:val="a9"/>
    <w:uiPriority w:val="59"/>
    <w:rsid w:val="00C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мментарий-инструкция"/>
    <w:basedOn w:val="a"/>
    <w:link w:val="-0"/>
    <w:qFormat/>
    <w:rsid w:val="00526787"/>
    <w:pPr>
      <w:suppressAutoHyphens/>
      <w:spacing w:after="0" w:line="252" w:lineRule="auto"/>
      <w:contextualSpacing/>
      <w:jc w:val="center"/>
    </w:pPr>
    <w:rPr>
      <w:rFonts w:ascii="Times New Roman" w:eastAsia="Calibri" w:hAnsi="Times New Roman" w:cs="Times New Roman"/>
      <w:i/>
      <w:sz w:val="28"/>
      <w:szCs w:val="28"/>
      <w:lang w:eastAsia="en-US"/>
    </w:rPr>
  </w:style>
  <w:style w:type="character" w:customStyle="1" w:styleId="-0">
    <w:name w:val="комментарий-инструкция Знак"/>
    <w:link w:val="-"/>
    <w:rsid w:val="00526787"/>
    <w:rPr>
      <w:rFonts w:ascii="Times New Roman" w:eastAsia="Calibri" w:hAnsi="Times New Roman" w:cs="Times New Roman"/>
      <w: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DA">
      <a:majorFont>
        <a:latin typeface="Segoe UI"/>
        <a:ea typeface=""/>
        <a:cs typeface=""/>
      </a:majorFont>
      <a:minorFont>
        <a:latin typeface="Segoe U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2842CE9C935F8A4AB91FEA07F36D4ECA" ma:contentTypeVersion="4" ma:contentTypeDescription="Создание документа." ma:contentTypeScope="" ma:versionID="915e9238198cedc1af9939905a3f76b1">
  <xsd:schema xmlns:xsd="http://www.w3.org/2001/XMLSchema" xmlns:xs="http://www.w3.org/2001/XMLSchema" xmlns:p="http://schemas.microsoft.com/office/2006/metadata/properties" xmlns:ns2="23bc4702-0596-46a3-bf03-2018a2ae7fb3" targetNamespace="http://schemas.microsoft.com/office/2006/metadata/properties" ma:root="true" ma:fieldsID="f5c6d288dc0e71fe668c571a6e792ecd" ns2:_="">
    <xsd:import namespace="23bc4702-0596-46a3-bf03-2018a2ae7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c4702-0596-46a3-bf03-2018a2ae7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823AD-31D0-4528-BDCA-DCE0A67AB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5938D-0ED7-4C44-89E4-71FDD95B1D5B}">
  <ds:schemaRefs>
    <ds:schemaRef ds:uri="http://schemas.openxmlformats.org/officeDocument/2006/bibliography"/>
  </ds:schemaRefs>
</ds:datastoreItem>
</file>

<file path=customXml/itemProps3.xml><?xml version="1.0" encoding="utf-8"?>
<ds:datastoreItem xmlns:ds="http://schemas.openxmlformats.org/officeDocument/2006/customXml" ds:itemID="{F3346822-7F16-46D8-A158-24C4AE0F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c4702-0596-46a3-bf03-2018a2ae7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98D07-B659-4BA0-8E57-182C52249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547</Words>
  <Characters>3124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tshimicheva</dc:creator>
  <cp:lastModifiedBy>Natalia Mushkaterova</cp:lastModifiedBy>
  <cp:revision>8</cp:revision>
  <cp:lastPrinted>2018-07-19T12:28:00Z</cp:lastPrinted>
  <dcterms:created xsi:type="dcterms:W3CDTF">2021-06-24T11:21:00Z</dcterms:created>
  <dcterms:modified xsi:type="dcterms:W3CDTF">2021-06-29T08:46:00Z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0x0101002842CE9C935F8A4AB91FEA07F36D4ECA</vt:lpwstr>
  </property>
</Properties>
</file>