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63D6" w14:textId="77777777" w:rsidR="00C50924" w:rsidRPr="007803BA" w:rsidRDefault="000C5B28" w:rsidP="007803BA">
      <w:pPr>
        <w:ind w:left="-1418" w:right="-709" w:firstLine="1418"/>
        <w:rPr>
          <w:rFonts w:ascii="Noto Sans" w:hAnsi="Noto Sans" w:cs="Noto Sans"/>
          <w:b/>
          <w:lang w:val="en-US"/>
        </w:rPr>
      </w:pPr>
      <w:r w:rsidRPr="007803BA">
        <w:rPr>
          <w:rFonts w:ascii="Noto Sans" w:hAnsi="Noto Sans" w:cs="Noto Sans"/>
          <w:b/>
          <w:lang w:val="en"/>
        </w:rPr>
        <w:t>About STADA</w:t>
      </w:r>
    </w:p>
    <w:p w14:paraId="2BE0ECD9" w14:textId="77777777" w:rsidR="005E0A3A" w:rsidRPr="007803BA" w:rsidRDefault="000C5B28" w:rsidP="007803BA">
      <w:pPr>
        <w:jc w:val="both"/>
        <w:rPr>
          <w:rFonts w:ascii="Noto Sans" w:hAnsi="Noto Sans" w:cs="Noto Sans"/>
          <w:lang w:val="en-US"/>
        </w:rPr>
      </w:pPr>
      <w:r w:rsidRPr="007803BA">
        <w:rPr>
          <w:rFonts w:ascii="Noto Sans" w:hAnsi="Noto Sans" w:cs="Noto Sans"/>
          <w:b/>
          <w:lang w:val="en"/>
        </w:rPr>
        <w:t>STADA Arzneimittel AG</w:t>
      </w:r>
      <w:r w:rsidRPr="007803BA">
        <w:rPr>
          <w:rFonts w:ascii="Noto Sans" w:hAnsi="Noto Sans" w:cs="Noto Sans"/>
          <w:lang w:val="en"/>
        </w:rPr>
        <w:t xml:space="preserve"> is an international pharmaceutical company that has been following its purpose </w:t>
      </w:r>
      <w:r w:rsidRPr="007803BA">
        <w:rPr>
          <w:rFonts w:ascii="Noto Sans" w:hAnsi="Noto Sans" w:cs="Noto Sans"/>
          <w:b/>
          <w:bCs/>
          <w:lang w:val="en"/>
        </w:rPr>
        <w:t>"Caring for people’s health as a trusted partner"</w:t>
      </w:r>
      <w:r w:rsidRPr="007803BA">
        <w:rPr>
          <w:rFonts w:ascii="Noto Sans" w:hAnsi="Noto Sans" w:cs="Noto Sans"/>
          <w:lang w:val="en"/>
        </w:rPr>
        <w:t xml:space="preserve"> for more than 125 years. STADA strives to ensure that its drug products are a trustworthy choice of healthcare professionals and consumers in all countries of its presence. </w:t>
      </w:r>
    </w:p>
    <w:p w14:paraId="6EEB0E15"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STADA's zero hour is March 14, 1895 in the German city of Dresden when forward-looking pharmacists teamed up to economically produce joint preparations to ensure effective and affordable public health in line with the uniform quality standards. The company name is abbreviated from St.</w:t>
      </w:r>
      <w:proofErr w:type="gramStart"/>
      <w:r w:rsidRPr="007803BA">
        <w:rPr>
          <w:rFonts w:ascii="Noto Sans" w:hAnsi="Noto Sans" w:cs="Noto Sans"/>
          <w:lang w:val="en"/>
        </w:rPr>
        <w:t>d.A</w:t>
      </w:r>
      <w:proofErr w:type="gramEnd"/>
      <w:r w:rsidRPr="007803BA">
        <w:rPr>
          <w:rFonts w:ascii="Noto Sans" w:hAnsi="Noto Sans" w:cs="Noto Sans"/>
          <w:lang w:val="en"/>
        </w:rPr>
        <w:t>-Standardarzneimittel deutscher Apotheker, which means the Standard of German Pharmacists.</w:t>
      </w:r>
    </w:p>
    <w:p w14:paraId="4A881FE2"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Worldwide, STADA sells its products</w:t>
      </w:r>
      <w:r w:rsidRPr="007803BA">
        <w:rPr>
          <w:rFonts w:ascii="Noto Sans" w:hAnsi="Noto Sans" w:cs="Noto Sans"/>
          <w:b/>
          <w:bCs/>
          <w:lang w:val="en"/>
        </w:rPr>
        <w:t xml:space="preserve"> in approximately 120 countries</w:t>
      </w:r>
      <w:r w:rsidRPr="007803BA">
        <w:rPr>
          <w:rFonts w:ascii="Noto Sans" w:hAnsi="Noto Sans" w:cs="Noto Sans"/>
          <w:lang w:val="en"/>
        </w:rPr>
        <w:t>, including Russia and CIS.</w:t>
      </w:r>
    </w:p>
    <w:p w14:paraId="633BFC70"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 xml:space="preserve">STADA's key business areas </w:t>
      </w:r>
      <w:r w:rsidRPr="007803BA">
        <w:rPr>
          <w:rFonts w:ascii="Noto Sans" w:hAnsi="Noto Sans" w:cs="Noto Sans"/>
          <w:b/>
          <w:bCs/>
          <w:lang w:val="en"/>
        </w:rPr>
        <w:t>are Consumer Healthcare,</w:t>
      </w:r>
      <w:r w:rsidRPr="007803BA">
        <w:rPr>
          <w:rFonts w:ascii="Noto Sans" w:hAnsi="Noto Sans" w:cs="Noto Sans"/>
          <w:lang w:val="en"/>
        </w:rPr>
        <w:t xml:space="preserve"> </w:t>
      </w:r>
      <w:r w:rsidRPr="007803BA">
        <w:rPr>
          <w:rFonts w:ascii="Noto Sans" w:hAnsi="Noto Sans" w:cs="Noto Sans"/>
          <w:b/>
          <w:bCs/>
          <w:lang w:val="en"/>
        </w:rPr>
        <w:t>generics</w:t>
      </w:r>
      <w:r w:rsidRPr="007803BA">
        <w:rPr>
          <w:rFonts w:ascii="Noto Sans" w:hAnsi="Noto Sans" w:cs="Noto Sans"/>
          <w:lang w:val="en"/>
        </w:rPr>
        <w:t xml:space="preserve">, and </w:t>
      </w:r>
      <w:r w:rsidRPr="007803BA">
        <w:rPr>
          <w:rFonts w:ascii="Noto Sans" w:hAnsi="Noto Sans" w:cs="Noto Sans"/>
          <w:b/>
          <w:bCs/>
          <w:lang w:val="en"/>
        </w:rPr>
        <w:t>specialty generics</w:t>
      </w:r>
      <w:r w:rsidRPr="007803BA">
        <w:rPr>
          <w:rFonts w:ascii="Noto Sans" w:hAnsi="Noto Sans" w:cs="Noto Sans"/>
          <w:lang w:val="en"/>
        </w:rPr>
        <w:t xml:space="preserve">. The company continues expanding its business in these areas, both organically and through acquisitions. </w:t>
      </w:r>
    </w:p>
    <w:p w14:paraId="0F503EA4"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 xml:space="preserve">As an international company, we focus on the internationalization of our production and business, while remaining a local market player in each region. STADA Group includes </w:t>
      </w:r>
      <w:r w:rsidRPr="007803BA">
        <w:rPr>
          <w:rFonts w:ascii="Noto Sans" w:hAnsi="Noto Sans" w:cs="Noto Sans"/>
          <w:b/>
          <w:bCs/>
          <w:lang w:val="en"/>
        </w:rPr>
        <w:t>more</w:t>
      </w:r>
      <w:r w:rsidRPr="007803BA">
        <w:rPr>
          <w:rFonts w:ascii="Noto Sans" w:hAnsi="Noto Sans" w:cs="Noto Sans"/>
          <w:lang w:val="en"/>
        </w:rPr>
        <w:t xml:space="preserve"> </w:t>
      </w:r>
      <w:r w:rsidRPr="007803BA">
        <w:rPr>
          <w:rFonts w:ascii="Noto Sans" w:hAnsi="Noto Sans" w:cs="Noto Sans"/>
          <w:b/>
          <w:bCs/>
          <w:lang w:val="en"/>
        </w:rPr>
        <w:t>than 20 production facilities worldwide</w:t>
      </w:r>
      <w:r w:rsidRPr="007803BA">
        <w:rPr>
          <w:rFonts w:ascii="Noto Sans" w:hAnsi="Noto Sans" w:cs="Noto Sans"/>
          <w:lang w:val="en"/>
        </w:rPr>
        <w:t>, including two Russian sites – Nizhpharm (Nizhny Novgorod) and Hemofarm (Obninsk).</w:t>
      </w:r>
    </w:p>
    <w:p w14:paraId="147FC6EA"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 xml:space="preserve">The production site </w:t>
      </w:r>
      <w:r w:rsidRPr="007803BA">
        <w:rPr>
          <w:rFonts w:ascii="Noto Sans" w:hAnsi="Noto Sans" w:cs="Noto Sans"/>
          <w:b/>
          <w:bCs/>
          <w:lang w:val="en"/>
        </w:rPr>
        <w:t>Nizhpharm (Nizhny Novgorod) became a part of STADA in 2004</w:t>
      </w:r>
      <w:r w:rsidRPr="007803BA">
        <w:rPr>
          <w:rFonts w:ascii="Noto Sans" w:hAnsi="Noto Sans" w:cs="Noto Sans"/>
          <w:lang w:val="en"/>
        </w:rPr>
        <w:t xml:space="preserve">. It is the largest Russian manufacturer of semi-solid dosage forms (ointments, suppositories, gels). The production site with a century-old history was the first to confirm compliance with international GMP quality standards in Russia. </w:t>
      </w:r>
    </w:p>
    <w:p w14:paraId="04FEAE5E" w14:textId="77777777" w:rsidR="005E0A3A" w:rsidRPr="007803BA" w:rsidRDefault="000C5B28" w:rsidP="007803BA">
      <w:pPr>
        <w:jc w:val="both"/>
        <w:rPr>
          <w:rFonts w:ascii="Noto Sans" w:hAnsi="Noto Sans" w:cs="Noto Sans"/>
          <w:lang w:val="en-US"/>
        </w:rPr>
      </w:pPr>
      <w:r w:rsidRPr="007803BA">
        <w:rPr>
          <w:rFonts w:ascii="Noto Sans" w:hAnsi="Noto Sans" w:cs="Noto Sans"/>
          <w:b/>
          <w:bCs/>
          <w:lang w:val="en"/>
        </w:rPr>
        <w:t>In 2010</w:t>
      </w:r>
      <w:r w:rsidRPr="007803BA">
        <w:rPr>
          <w:rFonts w:ascii="Noto Sans" w:hAnsi="Noto Sans" w:cs="Noto Sans"/>
          <w:lang w:val="en"/>
        </w:rPr>
        <w:t xml:space="preserve">, the production site Hemofarm </w:t>
      </w:r>
      <w:r w:rsidR="00B443F3" w:rsidRPr="007803BA">
        <w:rPr>
          <w:rFonts w:ascii="Noto Sans" w:hAnsi="Noto Sans" w:cs="Noto Sans"/>
          <w:b/>
          <w:bCs/>
          <w:lang w:val="en"/>
        </w:rPr>
        <w:t xml:space="preserve">(Obninsk) </w:t>
      </w:r>
      <w:r w:rsidRPr="007803BA">
        <w:rPr>
          <w:rFonts w:ascii="Noto Sans" w:hAnsi="Noto Sans" w:cs="Noto Sans"/>
          <w:lang w:val="en"/>
        </w:rPr>
        <w:t>became part of the Group</w:t>
      </w:r>
      <w:r w:rsidRPr="007803BA">
        <w:rPr>
          <w:rFonts w:ascii="Noto Sans" w:hAnsi="Noto Sans" w:cs="Noto Sans"/>
          <w:bCs/>
          <w:lang w:val="en"/>
        </w:rPr>
        <w:t>.</w:t>
      </w:r>
      <w:r w:rsidRPr="007803BA">
        <w:rPr>
          <w:rFonts w:ascii="Noto Sans" w:hAnsi="Noto Sans" w:cs="Noto Sans"/>
          <w:lang w:val="en"/>
        </w:rPr>
        <w:t xml:space="preserve"> This is the first large-scale foreign production established in the Obninsk municipal industrial zone from which the industrial parks of the Kaluga Region grew later.</w:t>
      </w:r>
    </w:p>
    <w:p w14:paraId="3973F7D5" w14:textId="77777777" w:rsidR="00E21F32" w:rsidRPr="007803BA" w:rsidRDefault="000C5B28" w:rsidP="007803BA">
      <w:pPr>
        <w:jc w:val="both"/>
        <w:rPr>
          <w:rFonts w:ascii="Noto Sans" w:hAnsi="Noto Sans" w:cs="Noto Sans"/>
          <w:lang w:val="en-US"/>
        </w:rPr>
      </w:pPr>
      <w:r w:rsidRPr="007803BA">
        <w:rPr>
          <w:rFonts w:ascii="Noto Sans" w:hAnsi="Noto Sans" w:cs="Noto Sans"/>
          <w:lang w:val="en"/>
        </w:rPr>
        <w:t xml:space="preserve">Today, STADA has one of the deepest levels of </w:t>
      </w:r>
      <w:r w:rsidRPr="007803BA">
        <w:rPr>
          <w:rFonts w:ascii="Noto Sans" w:hAnsi="Noto Sans" w:cs="Noto Sans"/>
          <w:b/>
          <w:bCs/>
          <w:lang w:val="en"/>
        </w:rPr>
        <w:t xml:space="preserve">localization – more than </w:t>
      </w:r>
      <w:proofErr w:type="gramStart"/>
      <w:r w:rsidRPr="007803BA">
        <w:rPr>
          <w:rFonts w:ascii="Noto Sans" w:hAnsi="Noto Sans" w:cs="Noto Sans"/>
          <w:b/>
          <w:bCs/>
          <w:lang w:val="en"/>
        </w:rPr>
        <w:t>65%,</w:t>
      </w:r>
      <w:r w:rsidRPr="007803BA">
        <w:rPr>
          <w:rFonts w:ascii="Noto Sans" w:hAnsi="Noto Sans" w:cs="Noto Sans"/>
          <w:lang w:val="en"/>
        </w:rPr>
        <w:t xml:space="preserve"> and</w:t>
      </w:r>
      <w:proofErr w:type="gramEnd"/>
      <w:r w:rsidRPr="007803BA">
        <w:rPr>
          <w:rFonts w:ascii="Noto Sans" w:hAnsi="Noto Sans" w:cs="Noto Sans"/>
          <w:lang w:val="en"/>
        </w:rPr>
        <w:t xml:space="preserve"> continues investing in this direction.</w:t>
      </w:r>
    </w:p>
    <w:p w14:paraId="30F77C3F" w14:textId="77777777" w:rsidR="00E21F32" w:rsidRPr="007803BA" w:rsidRDefault="000C5B28" w:rsidP="007803BA">
      <w:pPr>
        <w:jc w:val="both"/>
        <w:rPr>
          <w:rFonts w:ascii="Noto Sans" w:hAnsi="Noto Sans" w:cs="Noto Sans"/>
          <w:lang w:val="en-US"/>
        </w:rPr>
      </w:pPr>
      <w:r w:rsidRPr="007803BA">
        <w:rPr>
          <w:rFonts w:ascii="Noto Sans" w:hAnsi="Noto Sans" w:cs="Noto Sans"/>
          <w:lang w:val="en"/>
        </w:rPr>
        <w:t xml:space="preserve">STADA employs </w:t>
      </w:r>
      <w:r w:rsidRPr="007803BA">
        <w:rPr>
          <w:rFonts w:ascii="Noto Sans" w:hAnsi="Noto Sans" w:cs="Noto Sans"/>
          <w:b/>
          <w:bCs/>
          <w:lang w:val="en"/>
        </w:rPr>
        <w:t>more than 2,500 employees in Russia and CIS region</w:t>
      </w:r>
      <w:r w:rsidRPr="007803BA">
        <w:rPr>
          <w:rFonts w:ascii="Noto Sans" w:hAnsi="Noto Sans" w:cs="Noto Sans"/>
          <w:lang w:val="en"/>
        </w:rPr>
        <w:t>.</w:t>
      </w:r>
    </w:p>
    <w:p w14:paraId="21665CDF"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lastRenderedPageBreak/>
        <w:t xml:space="preserve">STADA is a company with an extensive portfolio. </w:t>
      </w:r>
      <w:r w:rsidRPr="007803BA">
        <w:rPr>
          <w:rFonts w:ascii="Noto Sans" w:hAnsi="Noto Sans" w:cs="Noto Sans"/>
          <w:b/>
          <w:bCs/>
          <w:lang w:val="en"/>
        </w:rPr>
        <w:t>In Russia, it includes more than 170 products</w:t>
      </w:r>
      <w:r w:rsidRPr="007803BA">
        <w:rPr>
          <w:rFonts w:ascii="Noto Sans" w:hAnsi="Noto Sans" w:cs="Noto Sans"/>
          <w:lang w:val="en"/>
        </w:rPr>
        <w:t xml:space="preserve"> meeting the high standards of traditional German quality. Thus, we provide millions of patients with medicines for the treatment of chronic diseases, give them the opportunity to prevent the development of diseases and take daily care of their health and the health of their loved ones improving their life quality.</w:t>
      </w:r>
    </w:p>
    <w:p w14:paraId="6F05A4A3" w14:textId="77777777" w:rsidR="00E21F32" w:rsidRPr="007803BA" w:rsidRDefault="000C5B28" w:rsidP="007803BA">
      <w:pPr>
        <w:jc w:val="both"/>
        <w:rPr>
          <w:rFonts w:ascii="Noto Sans" w:hAnsi="Noto Sans" w:cs="Noto Sans"/>
          <w:b/>
          <w:bCs/>
          <w:lang w:val="en-US"/>
        </w:rPr>
      </w:pPr>
      <w:r w:rsidRPr="007803BA">
        <w:rPr>
          <w:rFonts w:ascii="Noto Sans" w:hAnsi="Noto Sans" w:cs="Noto Sans"/>
          <w:lang w:val="en"/>
        </w:rPr>
        <w:t xml:space="preserve">STADA product portfolio in Russia includes medicines </w:t>
      </w:r>
      <w:r w:rsidRPr="007803BA">
        <w:rPr>
          <w:rFonts w:ascii="Noto Sans" w:hAnsi="Noto Sans" w:cs="Noto Sans"/>
          <w:b/>
          <w:bCs/>
          <w:lang w:val="en"/>
        </w:rPr>
        <w:t>from 17 of 20 therapeutic groups, the most popular drugs in the pharmacy retail.</w:t>
      </w:r>
    </w:p>
    <w:p w14:paraId="4689E1F2"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 xml:space="preserve">STADA is one of the largest manufacturers in the Consumer Healthcare, </w:t>
      </w:r>
      <w:proofErr w:type="gramStart"/>
      <w:r w:rsidRPr="007803BA">
        <w:rPr>
          <w:rFonts w:ascii="Noto Sans" w:hAnsi="Noto Sans" w:cs="Noto Sans"/>
          <w:lang w:val="en"/>
        </w:rPr>
        <w:t>generics</w:t>
      </w:r>
      <w:proofErr w:type="gramEnd"/>
      <w:r w:rsidRPr="007803BA">
        <w:rPr>
          <w:rFonts w:ascii="Noto Sans" w:hAnsi="Noto Sans" w:cs="Noto Sans"/>
          <w:lang w:val="en"/>
        </w:rPr>
        <w:t xml:space="preserve"> and specialty generics.</w:t>
      </w:r>
    </w:p>
    <w:p w14:paraId="32ADEDF0" w14:textId="77777777" w:rsidR="00E21F32" w:rsidRPr="007803BA" w:rsidRDefault="000C5B28" w:rsidP="007803BA">
      <w:pPr>
        <w:jc w:val="both"/>
        <w:rPr>
          <w:rFonts w:ascii="Noto Sans" w:hAnsi="Noto Sans" w:cs="Noto Sans"/>
          <w:lang w:val="en-US"/>
        </w:rPr>
      </w:pPr>
      <w:r w:rsidRPr="007803BA">
        <w:rPr>
          <w:rFonts w:ascii="Noto Sans" w:hAnsi="Noto Sans" w:cs="Noto Sans"/>
          <w:lang w:val="en"/>
        </w:rPr>
        <w:t xml:space="preserve">Medicines manufactured by STADA meet the most important expectations: they are safe, </w:t>
      </w:r>
      <w:proofErr w:type="gramStart"/>
      <w:r w:rsidRPr="007803BA">
        <w:rPr>
          <w:rFonts w:ascii="Noto Sans" w:hAnsi="Noto Sans" w:cs="Noto Sans"/>
          <w:lang w:val="en"/>
        </w:rPr>
        <w:t>effective</w:t>
      </w:r>
      <w:proofErr w:type="gramEnd"/>
      <w:r w:rsidRPr="007803BA">
        <w:rPr>
          <w:rFonts w:ascii="Noto Sans" w:hAnsi="Noto Sans" w:cs="Noto Sans"/>
          <w:lang w:val="en"/>
        </w:rPr>
        <w:t xml:space="preserve"> and affordable. </w:t>
      </w:r>
    </w:p>
    <w:p w14:paraId="558DCEAD" w14:textId="77777777" w:rsidR="00E21F32" w:rsidRPr="007803BA" w:rsidRDefault="000C5B28" w:rsidP="007803BA">
      <w:pPr>
        <w:jc w:val="both"/>
        <w:rPr>
          <w:rFonts w:ascii="Noto Sans" w:hAnsi="Noto Sans" w:cs="Noto Sans"/>
          <w:lang w:val="en-US"/>
        </w:rPr>
      </w:pPr>
      <w:r w:rsidRPr="007803BA">
        <w:rPr>
          <w:rFonts w:ascii="Noto Sans" w:hAnsi="Noto Sans" w:cs="Noto Sans"/>
          <w:lang w:val="en"/>
        </w:rPr>
        <w:t xml:space="preserve">In Russia, STADA </w:t>
      </w:r>
      <w:r w:rsidRPr="007803BA">
        <w:rPr>
          <w:rFonts w:ascii="Noto Sans" w:hAnsi="Noto Sans" w:cs="Noto Sans"/>
          <w:b/>
          <w:bCs/>
          <w:lang w:val="en"/>
        </w:rPr>
        <w:t xml:space="preserve">is a partner with 61 pharmacy chains. </w:t>
      </w:r>
      <w:r w:rsidRPr="007803BA">
        <w:rPr>
          <w:rFonts w:ascii="Noto Sans" w:hAnsi="Noto Sans" w:cs="Noto Sans"/>
          <w:lang w:val="en"/>
        </w:rPr>
        <w:t>These include 46,000 pharmacies.</w:t>
      </w:r>
    </w:p>
    <w:p w14:paraId="3C3EAF6B" w14:textId="77777777" w:rsidR="005E0A3A" w:rsidRPr="007803BA" w:rsidRDefault="000C5B28" w:rsidP="007803BA">
      <w:pPr>
        <w:jc w:val="both"/>
        <w:rPr>
          <w:rFonts w:ascii="Noto Sans" w:hAnsi="Noto Sans" w:cs="Noto Sans"/>
          <w:lang w:val="en-US"/>
        </w:rPr>
      </w:pPr>
      <w:r w:rsidRPr="007803BA">
        <w:rPr>
          <w:rFonts w:ascii="Noto Sans" w:hAnsi="Noto Sans" w:cs="Noto Sans"/>
          <w:lang w:val="en"/>
        </w:rPr>
        <w:t xml:space="preserve">The company is also the largest foreign investor in the Russian pharmaceutical business. STADA's investments in 2020 amounted to 660 mio USD, and in total, according to E&amp;Y, </w:t>
      </w:r>
      <w:r w:rsidRPr="007803BA">
        <w:rPr>
          <w:rFonts w:ascii="Noto Sans" w:hAnsi="Noto Sans" w:cs="Noto Sans"/>
          <w:b/>
          <w:bCs/>
          <w:lang w:val="en"/>
        </w:rPr>
        <w:t>STADA's investments</w:t>
      </w:r>
      <w:r w:rsidRPr="007803BA">
        <w:rPr>
          <w:rFonts w:ascii="Noto Sans" w:hAnsi="Noto Sans" w:cs="Noto Sans"/>
          <w:lang w:val="en"/>
        </w:rPr>
        <w:t xml:space="preserve"> in the development of the Russian pharmaceutical industry over the past 15 years </w:t>
      </w:r>
      <w:r w:rsidRPr="007803BA">
        <w:rPr>
          <w:rFonts w:ascii="Noto Sans" w:hAnsi="Noto Sans" w:cs="Noto Sans"/>
          <w:b/>
          <w:bCs/>
          <w:lang w:val="en"/>
        </w:rPr>
        <w:t>have exceeded 1 billion US dollars</w:t>
      </w:r>
      <w:r w:rsidRPr="007803BA">
        <w:rPr>
          <w:rFonts w:ascii="Noto Sans" w:hAnsi="Noto Sans" w:cs="Noto Sans"/>
          <w:lang w:val="en"/>
        </w:rPr>
        <w:t xml:space="preserve">. </w:t>
      </w:r>
    </w:p>
    <w:p w14:paraId="4BDC7D47" w14:textId="77777777" w:rsidR="001D71FA" w:rsidRPr="007803BA" w:rsidRDefault="000C5B28" w:rsidP="007803BA">
      <w:pPr>
        <w:jc w:val="both"/>
        <w:rPr>
          <w:rFonts w:ascii="Noto Sans" w:hAnsi="Noto Sans" w:cs="Noto Sans"/>
          <w:lang w:val="en-US"/>
        </w:rPr>
      </w:pPr>
      <w:r w:rsidRPr="007803BA">
        <w:rPr>
          <w:rFonts w:ascii="Noto Sans" w:hAnsi="Noto Sans" w:cs="Noto Sans"/>
          <w:lang w:val="en"/>
        </w:rPr>
        <w:t xml:space="preserve">The company's headquarters </w:t>
      </w:r>
      <w:proofErr w:type="gramStart"/>
      <w:r w:rsidRPr="007803BA">
        <w:rPr>
          <w:rFonts w:ascii="Noto Sans" w:hAnsi="Noto Sans" w:cs="Noto Sans"/>
          <w:lang w:val="en"/>
        </w:rPr>
        <w:t>is located in</w:t>
      </w:r>
      <w:proofErr w:type="gramEnd"/>
      <w:r w:rsidRPr="007803BA">
        <w:rPr>
          <w:rFonts w:ascii="Noto Sans" w:hAnsi="Noto Sans" w:cs="Noto Sans"/>
          <w:lang w:val="en"/>
        </w:rPr>
        <w:t xml:space="preserve"> Bad Vilbel (Germany). </w:t>
      </w:r>
    </w:p>
    <w:p w14:paraId="64BEEBBA" w14:textId="77777777" w:rsidR="00CB02F1" w:rsidRPr="007803BA" w:rsidRDefault="000C5B28" w:rsidP="007803BA">
      <w:pPr>
        <w:jc w:val="both"/>
        <w:rPr>
          <w:rFonts w:ascii="Noto Sans" w:hAnsi="Noto Sans" w:cs="Noto Sans"/>
          <w:lang w:val="en-US"/>
        </w:rPr>
      </w:pPr>
      <w:r w:rsidRPr="007803BA">
        <w:rPr>
          <w:rFonts w:ascii="Noto Sans" w:hAnsi="Noto Sans" w:cs="Noto Sans"/>
          <w:lang w:val="en"/>
        </w:rPr>
        <w:t xml:space="preserve">Visit us online at </w:t>
      </w:r>
      <w:hyperlink r:id="rId11" w:history="1">
        <w:r w:rsidR="007E4329" w:rsidRPr="007803BA">
          <w:rPr>
            <w:rStyle w:val="af4"/>
            <w:rFonts w:ascii="Noto Sans" w:hAnsi="Noto Sans" w:cs="Noto Sans"/>
            <w:lang w:val="en"/>
          </w:rPr>
          <w:t>www.stada.ru</w:t>
        </w:r>
      </w:hyperlink>
      <w:r w:rsidRPr="007803BA">
        <w:rPr>
          <w:rFonts w:ascii="Noto Sans" w:hAnsi="Noto Sans" w:cs="Noto Sans"/>
          <w:lang w:val="en"/>
        </w:rPr>
        <w:t xml:space="preserve"> </w:t>
      </w:r>
    </w:p>
    <w:p w14:paraId="0B661DBC" w14:textId="77777777" w:rsidR="00CB02F1" w:rsidRPr="007803BA" w:rsidRDefault="00CB02F1" w:rsidP="007803BA">
      <w:pPr>
        <w:ind w:left="-992" w:right="-709" w:firstLine="709"/>
        <w:jc w:val="both"/>
        <w:rPr>
          <w:rFonts w:ascii="Noto Sans" w:hAnsi="Noto Sans" w:cs="Noto Sans"/>
          <w:lang w:val="en-US"/>
        </w:rPr>
      </w:pPr>
    </w:p>
    <w:p w14:paraId="678F5CA2" w14:textId="77777777" w:rsidR="00EC31FF" w:rsidRPr="007803BA" w:rsidRDefault="00EC31FF" w:rsidP="007803BA">
      <w:pPr>
        <w:ind w:left="-992" w:right="-709" w:firstLine="709"/>
        <w:jc w:val="both"/>
        <w:rPr>
          <w:rFonts w:ascii="Noto Sans" w:hAnsi="Noto Sans" w:cs="Noto Sans"/>
          <w:lang w:val="en-US"/>
        </w:rPr>
      </w:pPr>
    </w:p>
    <w:p w14:paraId="01E19A8E" w14:textId="77777777" w:rsidR="00EC31FF" w:rsidRPr="00B443F3" w:rsidRDefault="00EC31FF" w:rsidP="00F93B2C">
      <w:pPr>
        <w:ind w:left="-992" w:right="-709" w:firstLine="709"/>
        <w:jc w:val="both"/>
        <w:rPr>
          <w:rFonts w:ascii="Segoe UI" w:hAnsi="Segoe UI" w:cs="Segoe UI"/>
          <w:lang w:val="en-US"/>
        </w:rPr>
      </w:pPr>
    </w:p>
    <w:p w14:paraId="46F2FC0C" w14:textId="77777777" w:rsidR="008858CB" w:rsidRPr="00B443F3" w:rsidRDefault="008858CB" w:rsidP="00F93B2C">
      <w:pPr>
        <w:ind w:left="-992" w:right="-709" w:firstLine="709"/>
        <w:jc w:val="both"/>
        <w:rPr>
          <w:rFonts w:ascii="Segoe UI" w:hAnsi="Segoe UI" w:cs="Segoe UI"/>
          <w:lang w:val="en-US"/>
        </w:rPr>
      </w:pPr>
    </w:p>
    <w:p w14:paraId="72BC369E" w14:textId="77777777" w:rsidR="00EC31FF" w:rsidRPr="00B443F3" w:rsidRDefault="00EC31FF" w:rsidP="00F93B2C">
      <w:pPr>
        <w:ind w:left="-992" w:right="-709" w:firstLine="709"/>
        <w:jc w:val="both"/>
        <w:rPr>
          <w:rFonts w:ascii="Segoe UI" w:hAnsi="Segoe UI" w:cs="Segoe UI"/>
          <w:lang w:val="en-US"/>
        </w:rPr>
      </w:pPr>
    </w:p>
    <w:p w14:paraId="39884F93" w14:textId="77777777" w:rsidR="00EA2040" w:rsidRPr="00B443F3" w:rsidRDefault="000C5B28" w:rsidP="00305C99">
      <w:pPr>
        <w:pStyle w:val="a7"/>
        <w:spacing w:before="0" w:beforeAutospacing="0" w:after="0" w:afterAutospacing="0" w:line="264" w:lineRule="auto"/>
        <w:rPr>
          <w:lang w:val="en-US"/>
        </w:rPr>
      </w:pPr>
      <w:r w:rsidRPr="00F80A88">
        <w:rPr>
          <w:sz w:val="18"/>
          <w:lang w:val="en"/>
        </w:rPr>
        <w:t>*</w:t>
      </w:r>
      <w:r w:rsidRPr="00EA2040">
        <w:rPr>
          <w:rFonts w:ascii="Segoe UI" w:eastAsiaTheme="minorEastAsia" w:hAnsi="Segoe UI" w:cs="Segoe UI"/>
          <w:sz w:val="16"/>
          <w:szCs w:val="20"/>
          <w:lang w:val="en"/>
        </w:rPr>
        <w:t xml:space="preserve"> Based on total sales of the company's own products and the acquired portfolio of Takeda and GSK including sales of the Aqualor brand - according to IQVIA, FY2019, all market segments.</w:t>
      </w:r>
    </w:p>
    <w:p w14:paraId="3D617DC3" w14:textId="77777777" w:rsidR="008858CB" w:rsidRPr="00B443F3" w:rsidRDefault="008858CB" w:rsidP="00305C99">
      <w:pPr>
        <w:pStyle w:val="af5"/>
        <w:ind w:left="0" w:right="-709"/>
        <w:jc w:val="both"/>
        <w:rPr>
          <w:rFonts w:ascii="Segoe UI" w:hAnsi="Segoe UI" w:cs="Segoe UI"/>
          <w:sz w:val="16"/>
          <w:szCs w:val="20"/>
          <w:lang w:val="en-US"/>
        </w:rPr>
      </w:pPr>
    </w:p>
    <w:p w14:paraId="602286FE" w14:textId="77777777" w:rsidR="008858CB" w:rsidRPr="00B443F3" w:rsidRDefault="000C5B28" w:rsidP="00305C99">
      <w:pPr>
        <w:pStyle w:val="af5"/>
        <w:ind w:left="0" w:right="-709"/>
        <w:jc w:val="both"/>
        <w:rPr>
          <w:rFonts w:ascii="Segoe UI" w:hAnsi="Segoe UI" w:cs="Segoe UI"/>
          <w:lang w:val="en-US"/>
        </w:rPr>
      </w:pPr>
      <w:r>
        <w:rPr>
          <w:rFonts w:ascii="Segoe UI" w:hAnsi="Segoe UI" w:cs="Segoe UI"/>
          <w:sz w:val="16"/>
          <w:szCs w:val="20"/>
          <w:lang w:val="en"/>
        </w:rPr>
        <w:t>** Based on total sales of the company's own products and the acquired portfolio of Takeda including sales of the Aqualor brand - according to IQVIA, FY2019, all market segments.</w:t>
      </w:r>
    </w:p>
    <w:sectPr w:rsidR="008858CB" w:rsidRPr="00B443F3" w:rsidSect="008E067A">
      <w:headerReference w:type="default" r:id="rId12"/>
      <w:footerReference w:type="default" r:id="rId13"/>
      <w:headerReference w:type="first" r:id="rId14"/>
      <w:footerReference w:type="first" r:id="rId15"/>
      <w:pgSz w:w="11906" w:h="16838"/>
      <w:pgMar w:top="3119" w:right="1133" w:bottom="1843" w:left="141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E86B2" w14:textId="77777777" w:rsidR="00924C60" w:rsidRDefault="00924C60">
      <w:pPr>
        <w:spacing w:after="0" w:line="240" w:lineRule="auto"/>
      </w:pPr>
      <w:r>
        <w:separator/>
      </w:r>
    </w:p>
  </w:endnote>
  <w:endnote w:type="continuationSeparator" w:id="0">
    <w:p w14:paraId="2FEEB99C" w14:textId="77777777" w:rsidR="00924C60" w:rsidRDefault="0092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Noto Sans">
    <w:panose1 w:val="020B0502040504020204"/>
    <w:charset w:val="CC"/>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448026"/>
      <w:docPartObj>
        <w:docPartGallery w:val="Page Numbers (Bottom of Page)"/>
        <w:docPartUnique/>
      </w:docPartObj>
    </w:sdtPr>
    <w:sdtEndPr/>
    <w:sdtContent>
      <w:p w14:paraId="31422369" w14:textId="77777777" w:rsidR="00F83B68" w:rsidRDefault="00F83B68" w:rsidP="00CC25A5">
        <w:pPr>
          <w:pStyle w:val="a5"/>
          <w:ind w:right="-1561"/>
          <w:jc w:val="right"/>
        </w:pPr>
      </w:p>
      <w:tbl>
        <w:tblPr>
          <w:tblStyle w:val="a9"/>
          <w:tblW w:w="1041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886"/>
          <w:gridCol w:w="2466"/>
          <w:gridCol w:w="1885"/>
          <w:gridCol w:w="1852"/>
        </w:tblGrid>
        <w:tr w:rsidR="009270DC" w:rsidRPr="007803BA" w14:paraId="0A75808C" w14:textId="77777777" w:rsidTr="00F83B68">
          <w:trPr>
            <w:trHeight w:val="275"/>
          </w:trPr>
          <w:tc>
            <w:tcPr>
              <w:tcW w:w="2321" w:type="dxa"/>
            </w:tcPr>
            <w:p w14:paraId="515531EF" w14:textId="77777777" w:rsidR="00F83B68" w:rsidRPr="00B443F3" w:rsidRDefault="000C5B28" w:rsidP="00F83B68">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Nizhpharm JSC</w:t>
              </w:r>
            </w:p>
            <w:p w14:paraId="4C697FE8"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7 Salganskaya st., Box 459,</w:t>
              </w:r>
            </w:p>
            <w:p w14:paraId="065CB835" w14:textId="77777777" w:rsidR="00F83B68" w:rsidRPr="00106D58" w:rsidRDefault="000C5B28" w:rsidP="00F83B68">
              <w:pPr>
                <w:pStyle w:val="a5"/>
                <w:rPr>
                  <w:rFonts w:asciiTheme="majorHAnsi" w:hAnsiTheme="majorHAnsi" w:cstheme="majorHAnsi"/>
                  <w:sz w:val="12"/>
                  <w:szCs w:val="12"/>
                </w:rPr>
              </w:pPr>
              <w:r w:rsidRPr="00106D58">
                <w:rPr>
                  <w:rFonts w:asciiTheme="majorHAnsi" w:hAnsiTheme="majorHAnsi" w:cstheme="majorHAnsi"/>
                  <w:sz w:val="12"/>
                  <w:szCs w:val="12"/>
                  <w:lang w:val="en"/>
                </w:rPr>
                <w:t>Nizhny Novgorod, Russia, 603950</w:t>
              </w:r>
            </w:p>
          </w:tc>
          <w:tc>
            <w:tcPr>
              <w:tcW w:w="1886" w:type="dxa"/>
            </w:tcPr>
            <w:p w14:paraId="2E138353"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(831) 278 80 88</w:t>
              </w:r>
            </w:p>
            <w:p w14:paraId="3DA1D83A" w14:textId="77777777" w:rsidR="00F83B68" w:rsidRPr="00B443F3" w:rsidRDefault="000C5B28" w:rsidP="00F83B68">
              <w:pPr>
                <w:pStyle w:val="a5"/>
                <w:rPr>
                  <w:rFonts w:asciiTheme="majorHAnsi" w:hAnsiTheme="majorHAnsi" w:cstheme="majorHAnsi"/>
                  <w:sz w:val="12"/>
                  <w:szCs w:val="12"/>
                  <w:lang w:val="en-US"/>
                </w:rPr>
              </w:pPr>
              <w:proofErr w:type="gramStart"/>
              <w:r w:rsidRPr="00106D58">
                <w:rPr>
                  <w:rFonts w:asciiTheme="majorHAnsi" w:hAnsiTheme="majorHAnsi" w:cstheme="majorHAnsi"/>
                  <w:sz w:val="12"/>
                  <w:szCs w:val="12"/>
                  <w:lang w:val="en"/>
                </w:rPr>
                <w:t>fax  +</w:t>
              </w:r>
              <w:proofErr w:type="gramEnd"/>
              <w:r w:rsidRPr="00106D58">
                <w:rPr>
                  <w:rFonts w:asciiTheme="majorHAnsi" w:hAnsiTheme="majorHAnsi" w:cstheme="majorHAnsi"/>
                  <w:sz w:val="12"/>
                  <w:szCs w:val="12"/>
                  <w:lang w:val="en"/>
                </w:rPr>
                <w:t>7 (831) 430 72 13</w:t>
              </w:r>
            </w:p>
            <w:p w14:paraId="04F0F115"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med@stada.ru</w:t>
              </w:r>
            </w:p>
            <w:p w14:paraId="2A5D5519"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2466" w:type="dxa"/>
            </w:tcPr>
            <w:p w14:paraId="599668D6" w14:textId="77777777" w:rsidR="00F83B68" w:rsidRPr="00B443F3" w:rsidRDefault="000C5B28" w:rsidP="00F83B68">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Moscow Representative Office</w:t>
              </w:r>
            </w:p>
            <w:p w14:paraId="7A40C1E4" w14:textId="77777777" w:rsidR="00F83B68" w:rsidRPr="00B443F3" w:rsidRDefault="000C5B28" w:rsidP="00F83B68">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Nizhpharm JSC</w:t>
              </w:r>
            </w:p>
            <w:p w14:paraId="215B341A"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Block 4, bld. 44 Bolshaya Ordynka,</w:t>
              </w:r>
            </w:p>
            <w:p w14:paraId="42EA8F0E" w14:textId="77777777" w:rsidR="00F83B68" w:rsidRPr="00106D58" w:rsidRDefault="000C5B28" w:rsidP="00F83B68">
              <w:pPr>
                <w:pStyle w:val="a5"/>
                <w:rPr>
                  <w:rFonts w:asciiTheme="majorHAnsi" w:hAnsiTheme="majorHAnsi" w:cstheme="majorHAnsi"/>
                  <w:sz w:val="12"/>
                  <w:szCs w:val="12"/>
                </w:rPr>
              </w:pPr>
              <w:r w:rsidRPr="00106D58">
                <w:rPr>
                  <w:rFonts w:asciiTheme="majorHAnsi" w:hAnsiTheme="majorHAnsi" w:cstheme="majorHAnsi"/>
                  <w:sz w:val="12"/>
                  <w:szCs w:val="12"/>
                  <w:lang w:val="en"/>
                </w:rPr>
                <w:t>Moscow, Russia, 119017</w:t>
              </w:r>
            </w:p>
          </w:tc>
          <w:tc>
            <w:tcPr>
              <w:tcW w:w="1885" w:type="dxa"/>
            </w:tcPr>
            <w:p w14:paraId="3B7EDC1C"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(495) 797 31 10</w:t>
              </w:r>
            </w:p>
            <w:p w14:paraId="0CCEF7B7"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fax +7 (495) 797 31 11</w:t>
              </w:r>
            </w:p>
            <w:p w14:paraId="7B01DD47"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moscow@stada.ru</w:t>
              </w:r>
            </w:p>
            <w:p w14:paraId="1192D6AB" w14:textId="77777777" w:rsidR="00F83B68" w:rsidRPr="00B443F3" w:rsidRDefault="000C5B28"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1852" w:type="dxa"/>
            </w:tcPr>
            <w:p w14:paraId="49422AEC" w14:textId="77777777" w:rsidR="00F83B68" w:rsidRPr="00B443F3" w:rsidRDefault="00F83B68" w:rsidP="00F83B68">
              <w:pPr>
                <w:pStyle w:val="a5"/>
                <w:rPr>
                  <w:rFonts w:asciiTheme="majorHAnsi" w:hAnsiTheme="majorHAnsi" w:cstheme="majorHAnsi"/>
                  <w:sz w:val="12"/>
                  <w:szCs w:val="12"/>
                  <w:lang w:val="en-US"/>
                </w:rPr>
              </w:pPr>
            </w:p>
          </w:tc>
        </w:tr>
      </w:tbl>
      <w:p w14:paraId="58D1220C" w14:textId="77777777" w:rsidR="00CC25A5" w:rsidRDefault="000C5B28" w:rsidP="00CC25A5">
        <w:pPr>
          <w:pStyle w:val="a5"/>
          <w:ind w:right="-1561"/>
          <w:jc w:val="right"/>
        </w:pPr>
        <w:r>
          <w:fldChar w:fldCharType="begin"/>
        </w:r>
        <w:r w:rsidR="0076000F">
          <w:instrText xml:space="preserve"> PAGE   \* MERGEFORMAT </w:instrText>
        </w:r>
        <w:r>
          <w:fldChar w:fldCharType="separate"/>
        </w:r>
        <w:r w:rsidR="00305C99">
          <w:rPr>
            <w:noProof/>
          </w:rPr>
          <w:t>2</w:t>
        </w:r>
        <w:r>
          <w:rPr>
            <w:noProof/>
          </w:rPr>
          <w:fldChar w:fldCharType="end"/>
        </w:r>
      </w:p>
    </w:sdtContent>
  </w:sdt>
  <w:p w14:paraId="6A14001F" w14:textId="77777777" w:rsidR="00CC25A5" w:rsidRDefault="00CC25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43"/>
      <w:gridCol w:w="2410"/>
      <w:gridCol w:w="1842"/>
      <w:gridCol w:w="1810"/>
    </w:tblGrid>
    <w:tr w:rsidR="009270DC" w:rsidRPr="007803BA" w14:paraId="6CF00697" w14:textId="77777777" w:rsidTr="00483236">
      <w:trPr>
        <w:trHeight w:val="767"/>
      </w:trPr>
      <w:tc>
        <w:tcPr>
          <w:tcW w:w="2268" w:type="dxa"/>
        </w:tcPr>
        <w:p w14:paraId="0F495551" w14:textId="77777777" w:rsidR="00483236" w:rsidRPr="00B443F3" w:rsidRDefault="000C5B28" w:rsidP="00435A8E">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Nizhpharm JSC</w:t>
          </w:r>
        </w:p>
        <w:p w14:paraId="0B5ABD13"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7 Salganskaya st., Box 459,</w:t>
          </w:r>
        </w:p>
        <w:p w14:paraId="331441AB" w14:textId="77777777" w:rsidR="00483236" w:rsidRPr="00106D58" w:rsidRDefault="000C5B28" w:rsidP="00435A8E">
          <w:pPr>
            <w:pStyle w:val="a5"/>
            <w:rPr>
              <w:rFonts w:asciiTheme="majorHAnsi" w:hAnsiTheme="majorHAnsi" w:cstheme="majorHAnsi"/>
              <w:sz w:val="12"/>
              <w:szCs w:val="12"/>
            </w:rPr>
          </w:pPr>
          <w:r w:rsidRPr="00106D58">
            <w:rPr>
              <w:rFonts w:asciiTheme="majorHAnsi" w:hAnsiTheme="majorHAnsi" w:cstheme="majorHAnsi"/>
              <w:sz w:val="12"/>
              <w:szCs w:val="12"/>
              <w:lang w:val="en"/>
            </w:rPr>
            <w:t>Nizhny Novgorod, Russia, 603950</w:t>
          </w:r>
        </w:p>
      </w:tc>
      <w:tc>
        <w:tcPr>
          <w:tcW w:w="1843" w:type="dxa"/>
        </w:tcPr>
        <w:p w14:paraId="2B2806B4"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(831) 278 80 88</w:t>
          </w:r>
        </w:p>
        <w:p w14:paraId="3995E91A" w14:textId="77777777" w:rsidR="00483236" w:rsidRPr="00B443F3" w:rsidRDefault="000C5B28" w:rsidP="00435A8E">
          <w:pPr>
            <w:pStyle w:val="a5"/>
            <w:rPr>
              <w:rFonts w:asciiTheme="majorHAnsi" w:hAnsiTheme="majorHAnsi" w:cstheme="majorHAnsi"/>
              <w:sz w:val="12"/>
              <w:szCs w:val="12"/>
              <w:lang w:val="en-US"/>
            </w:rPr>
          </w:pPr>
          <w:proofErr w:type="gramStart"/>
          <w:r w:rsidRPr="00106D58">
            <w:rPr>
              <w:rFonts w:asciiTheme="majorHAnsi" w:hAnsiTheme="majorHAnsi" w:cstheme="majorHAnsi"/>
              <w:sz w:val="12"/>
              <w:szCs w:val="12"/>
              <w:lang w:val="en"/>
            </w:rPr>
            <w:t>fax  +</w:t>
          </w:r>
          <w:proofErr w:type="gramEnd"/>
          <w:r w:rsidRPr="00106D58">
            <w:rPr>
              <w:rFonts w:asciiTheme="majorHAnsi" w:hAnsiTheme="majorHAnsi" w:cstheme="majorHAnsi"/>
              <w:sz w:val="12"/>
              <w:szCs w:val="12"/>
              <w:lang w:val="en"/>
            </w:rPr>
            <w:t>7 (831) 430 72 13</w:t>
          </w:r>
        </w:p>
        <w:p w14:paraId="471C6FC0"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med@stada.ru</w:t>
          </w:r>
        </w:p>
        <w:p w14:paraId="28F7E268"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2410" w:type="dxa"/>
        </w:tcPr>
        <w:p w14:paraId="48B57876" w14:textId="77777777" w:rsidR="00483236" w:rsidRPr="00B443F3" w:rsidRDefault="000C5B28" w:rsidP="00435A8E">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Moscow Representative Office</w:t>
          </w:r>
        </w:p>
        <w:p w14:paraId="74DB280C" w14:textId="77777777" w:rsidR="00483236" w:rsidRPr="00B443F3" w:rsidRDefault="000C5B28" w:rsidP="00435A8E">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Nizhpharm JSC</w:t>
          </w:r>
        </w:p>
        <w:p w14:paraId="169C44C1"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Block 4, bld. 44 Bolshaya Ordynka,</w:t>
          </w:r>
        </w:p>
        <w:p w14:paraId="04066547" w14:textId="77777777" w:rsidR="00483236" w:rsidRPr="00106D58" w:rsidRDefault="000C5B28" w:rsidP="00435A8E">
          <w:pPr>
            <w:pStyle w:val="a5"/>
            <w:rPr>
              <w:rFonts w:asciiTheme="majorHAnsi" w:hAnsiTheme="majorHAnsi" w:cstheme="majorHAnsi"/>
              <w:sz w:val="12"/>
              <w:szCs w:val="12"/>
            </w:rPr>
          </w:pPr>
          <w:r w:rsidRPr="00106D58">
            <w:rPr>
              <w:rFonts w:asciiTheme="majorHAnsi" w:hAnsiTheme="majorHAnsi" w:cstheme="majorHAnsi"/>
              <w:sz w:val="12"/>
              <w:szCs w:val="12"/>
              <w:lang w:val="en"/>
            </w:rPr>
            <w:t>Moscow, Russia, 119017</w:t>
          </w:r>
        </w:p>
      </w:tc>
      <w:tc>
        <w:tcPr>
          <w:tcW w:w="1842" w:type="dxa"/>
        </w:tcPr>
        <w:p w14:paraId="0467FB03"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(495) 797 31 10</w:t>
          </w:r>
        </w:p>
        <w:p w14:paraId="241547A2"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fax +7 (495) 797 31 11</w:t>
          </w:r>
        </w:p>
        <w:p w14:paraId="5F69C567"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moscow@stada.ru</w:t>
          </w:r>
        </w:p>
        <w:p w14:paraId="77C6D90E" w14:textId="77777777" w:rsidR="00483236" w:rsidRPr="00B443F3" w:rsidRDefault="000C5B28" w:rsidP="00435A8E">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1810" w:type="dxa"/>
        </w:tcPr>
        <w:p w14:paraId="2281E9B8" w14:textId="77777777" w:rsidR="00483236" w:rsidRPr="00B443F3" w:rsidRDefault="00483236" w:rsidP="00435A8E">
          <w:pPr>
            <w:pStyle w:val="a5"/>
            <w:rPr>
              <w:rFonts w:asciiTheme="majorHAnsi" w:hAnsiTheme="majorHAnsi" w:cstheme="majorHAnsi"/>
              <w:sz w:val="12"/>
              <w:szCs w:val="12"/>
              <w:lang w:val="en-US"/>
            </w:rPr>
          </w:pPr>
        </w:p>
      </w:tc>
    </w:tr>
  </w:tbl>
  <w:p w14:paraId="4F39CB63" w14:textId="77777777" w:rsidR="00B127DB" w:rsidRPr="00B443F3" w:rsidRDefault="00B127DB" w:rsidP="00B127DB">
    <w:pPr>
      <w:pStyle w:val="a5"/>
      <w:ind w:left="-851"/>
      <w:rPr>
        <w:rFonts w:asciiTheme="majorHAnsi" w:hAnsiTheme="majorHAnsi" w:cstheme="majorHAnsi"/>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EBDEC" w14:textId="77777777" w:rsidR="00924C60" w:rsidRDefault="00924C60">
      <w:pPr>
        <w:spacing w:after="0" w:line="240" w:lineRule="auto"/>
      </w:pPr>
      <w:r>
        <w:separator/>
      </w:r>
    </w:p>
  </w:footnote>
  <w:footnote w:type="continuationSeparator" w:id="0">
    <w:p w14:paraId="6A122EBA" w14:textId="77777777" w:rsidR="00924C60" w:rsidRDefault="0092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E3C4" w14:textId="77777777" w:rsidR="00594860" w:rsidRDefault="00594860" w:rsidP="008E067A">
    <w:pPr>
      <w:pStyle w:val="a3"/>
      <w:ind w:left="-1418"/>
      <w:jc w:val="right"/>
      <w:rPr>
        <w:lang w:val="en-US"/>
      </w:rPr>
    </w:pPr>
  </w:p>
  <w:p w14:paraId="66609D9C" w14:textId="77777777" w:rsidR="00CB02F1" w:rsidRPr="00594860" w:rsidRDefault="000C5B28" w:rsidP="008E067A">
    <w:pPr>
      <w:pStyle w:val="a3"/>
      <w:ind w:left="-1418"/>
      <w:jc w:val="right"/>
      <w:rPr>
        <w:lang w:val="en-US"/>
      </w:rPr>
    </w:pPr>
    <w:r>
      <w:rPr>
        <w:noProof/>
      </w:rPr>
      <w:drawing>
        <wp:inline distT="0" distB="0" distL="0" distR="0" wp14:anchorId="246078E4" wp14:editId="240A8A03">
          <wp:extent cx="1010332" cy="797357"/>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17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3487" cy="8471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F207" w14:textId="77777777" w:rsidR="00130FC5" w:rsidRDefault="000C5B28" w:rsidP="001E4D9F">
    <w:pPr>
      <w:pStyle w:val="a3"/>
      <w:tabs>
        <w:tab w:val="clear" w:pos="4677"/>
        <w:tab w:val="clear" w:pos="9355"/>
        <w:tab w:val="center" w:pos="3968"/>
      </w:tabs>
      <w:ind w:left="-1418"/>
    </w:pPr>
    <w:r>
      <w:tab/>
    </w:r>
  </w:p>
  <w:p w14:paraId="1375C466" w14:textId="77777777" w:rsidR="00C62933" w:rsidRDefault="00C62933" w:rsidP="00D83C48">
    <w:pPr>
      <w:pStyle w:val="a3"/>
      <w:ind w:left="-141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3CF1"/>
    <w:multiLevelType w:val="hybridMultilevel"/>
    <w:tmpl w:val="DD70CFC2"/>
    <w:lvl w:ilvl="0" w:tplc="B360F604">
      <w:start w:val="1"/>
      <w:numFmt w:val="bullet"/>
      <w:lvlText w:val="o"/>
      <w:lvlJc w:val="left"/>
      <w:pPr>
        <w:ind w:left="-273" w:hanging="360"/>
      </w:pPr>
      <w:rPr>
        <w:rFonts w:ascii="Courier New" w:hAnsi="Courier New" w:cs="Courier New" w:hint="default"/>
      </w:rPr>
    </w:lvl>
    <w:lvl w:ilvl="1" w:tplc="B4887D28" w:tentative="1">
      <w:start w:val="1"/>
      <w:numFmt w:val="bullet"/>
      <w:lvlText w:val="o"/>
      <w:lvlJc w:val="left"/>
      <w:pPr>
        <w:ind w:left="447" w:hanging="360"/>
      </w:pPr>
      <w:rPr>
        <w:rFonts w:ascii="Courier New" w:hAnsi="Courier New" w:cs="Courier New" w:hint="default"/>
      </w:rPr>
    </w:lvl>
    <w:lvl w:ilvl="2" w:tplc="DB10919A" w:tentative="1">
      <w:start w:val="1"/>
      <w:numFmt w:val="bullet"/>
      <w:lvlText w:val=""/>
      <w:lvlJc w:val="left"/>
      <w:pPr>
        <w:ind w:left="1167" w:hanging="360"/>
      </w:pPr>
      <w:rPr>
        <w:rFonts w:ascii="Wingdings" w:hAnsi="Wingdings" w:hint="default"/>
      </w:rPr>
    </w:lvl>
    <w:lvl w:ilvl="3" w:tplc="647E8BFE" w:tentative="1">
      <w:start w:val="1"/>
      <w:numFmt w:val="bullet"/>
      <w:lvlText w:val=""/>
      <w:lvlJc w:val="left"/>
      <w:pPr>
        <w:ind w:left="1887" w:hanging="360"/>
      </w:pPr>
      <w:rPr>
        <w:rFonts w:ascii="Symbol" w:hAnsi="Symbol" w:hint="default"/>
      </w:rPr>
    </w:lvl>
    <w:lvl w:ilvl="4" w:tplc="F8EAE640" w:tentative="1">
      <w:start w:val="1"/>
      <w:numFmt w:val="bullet"/>
      <w:lvlText w:val="o"/>
      <w:lvlJc w:val="left"/>
      <w:pPr>
        <w:ind w:left="2607" w:hanging="360"/>
      </w:pPr>
      <w:rPr>
        <w:rFonts w:ascii="Courier New" w:hAnsi="Courier New" w:cs="Courier New" w:hint="default"/>
      </w:rPr>
    </w:lvl>
    <w:lvl w:ilvl="5" w:tplc="B6009B9E" w:tentative="1">
      <w:start w:val="1"/>
      <w:numFmt w:val="bullet"/>
      <w:lvlText w:val=""/>
      <w:lvlJc w:val="left"/>
      <w:pPr>
        <w:ind w:left="3327" w:hanging="360"/>
      </w:pPr>
      <w:rPr>
        <w:rFonts w:ascii="Wingdings" w:hAnsi="Wingdings" w:hint="default"/>
      </w:rPr>
    </w:lvl>
    <w:lvl w:ilvl="6" w:tplc="6E644F20" w:tentative="1">
      <w:start w:val="1"/>
      <w:numFmt w:val="bullet"/>
      <w:lvlText w:val=""/>
      <w:lvlJc w:val="left"/>
      <w:pPr>
        <w:ind w:left="4047" w:hanging="360"/>
      </w:pPr>
      <w:rPr>
        <w:rFonts w:ascii="Symbol" w:hAnsi="Symbol" w:hint="default"/>
      </w:rPr>
    </w:lvl>
    <w:lvl w:ilvl="7" w:tplc="F8CADE6C" w:tentative="1">
      <w:start w:val="1"/>
      <w:numFmt w:val="bullet"/>
      <w:lvlText w:val="o"/>
      <w:lvlJc w:val="left"/>
      <w:pPr>
        <w:ind w:left="4767" w:hanging="360"/>
      </w:pPr>
      <w:rPr>
        <w:rFonts w:ascii="Courier New" w:hAnsi="Courier New" w:cs="Courier New" w:hint="default"/>
      </w:rPr>
    </w:lvl>
    <w:lvl w:ilvl="8" w:tplc="791A5558" w:tentative="1">
      <w:start w:val="1"/>
      <w:numFmt w:val="bullet"/>
      <w:lvlText w:val=""/>
      <w:lvlJc w:val="left"/>
      <w:pPr>
        <w:ind w:left="5487" w:hanging="360"/>
      </w:pPr>
      <w:rPr>
        <w:rFonts w:ascii="Wingdings" w:hAnsi="Wingdings" w:hint="default"/>
      </w:rPr>
    </w:lvl>
  </w:abstractNum>
  <w:abstractNum w:abstractNumId="1" w15:restartNumberingAfterBreak="0">
    <w:nsid w:val="24BF6E39"/>
    <w:multiLevelType w:val="hybridMultilevel"/>
    <w:tmpl w:val="6D9092FE"/>
    <w:lvl w:ilvl="0" w:tplc="84EE2B0A">
      <w:numFmt w:val="bullet"/>
      <w:lvlText w:val=""/>
      <w:lvlJc w:val="left"/>
      <w:pPr>
        <w:ind w:left="77" w:hanging="360"/>
      </w:pPr>
      <w:rPr>
        <w:rFonts w:ascii="Symbol" w:eastAsiaTheme="minorEastAsia" w:hAnsi="Symbol" w:cs="Segoe UI" w:hint="default"/>
      </w:rPr>
    </w:lvl>
    <w:lvl w:ilvl="1" w:tplc="6B203294" w:tentative="1">
      <w:start w:val="1"/>
      <w:numFmt w:val="bullet"/>
      <w:lvlText w:val="o"/>
      <w:lvlJc w:val="left"/>
      <w:pPr>
        <w:ind w:left="797" w:hanging="360"/>
      </w:pPr>
      <w:rPr>
        <w:rFonts w:ascii="Courier New" w:hAnsi="Courier New" w:cs="Courier New" w:hint="default"/>
      </w:rPr>
    </w:lvl>
    <w:lvl w:ilvl="2" w:tplc="C31A388A" w:tentative="1">
      <w:start w:val="1"/>
      <w:numFmt w:val="bullet"/>
      <w:lvlText w:val=""/>
      <w:lvlJc w:val="left"/>
      <w:pPr>
        <w:ind w:left="1517" w:hanging="360"/>
      </w:pPr>
      <w:rPr>
        <w:rFonts w:ascii="Wingdings" w:hAnsi="Wingdings" w:hint="default"/>
      </w:rPr>
    </w:lvl>
    <w:lvl w:ilvl="3" w:tplc="6126788E" w:tentative="1">
      <w:start w:val="1"/>
      <w:numFmt w:val="bullet"/>
      <w:lvlText w:val=""/>
      <w:lvlJc w:val="left"/>
      <w:pPr>
        <w:ind w:left="2237" w:hanging="360"/>
      </w:pPr>
      <w:rPr>
        <w:rFonts w:ascii="Symbol" w:hAnsi="Symbol" w:hint="default"/>
      </w:rPr>
    </w:lvl>
    <w:lvl w:ilvl="4" w:tplc="3E360AE8" w:tentative="1">
      <w:start w:val="1"/>
      <w:numFmt w:val="bullet"/>
      <w:lvlText w:val="o"/>
      <w:lvlJc w:val="left"/>
      <w:pPr>
        <w:ind w:left="2957" w:hanging="360"/>
      </w:pPr>
      <w:rPr>
        <w:rFonts w:ascii="Courier New" w:hAnsi="Courier New" w:cs="Courier New" w:hint="default"/>
      </w:rPr>
    </w:lvl>
    <w:lvl w:ilvl="5" w:tplc="C366BA34" w:tentative="1">
      <w:start w:val="1"/>
      <w:numFmt w:val="bullet"/>
      <w:lvlText w:val=""/>
      <w:lvlJc w:val="left"/>
      <w:pPr>
        <w:ind w:left="3677" w:hanging="360"/>
      </w:pPr>
      <w:rPr>
        <w:rFonts w:ascii="Wingdings" w:hAnsi="Wingdings" w:hint="default"/>
      </w:rPr>
    </w:lvl>
    <w:lvl w:ilvl="6" w:tplc="FBD26FCE" w:tentative="1">
      <w:start w:val="1"/>
      <w:numFmt w:val="bullet"/>
      <w:lvlText w:val=""/>
      <w:lvlJc w:val="left"/>
      <w:pPr>
        <w:ind w:left="4397" w:hanging="360"/>
      </w:pPr>
      <w:rPr>
        <w:rFonts w:ascii="Symbol" w:hAnsi="Symbol" w:hint="default"/>
      </w:rPr>
    </w:lvl>
    <w:lvl w:ilvl="7" w:tplc="CAD25DE8" w:tentative="1">
      <w:start w:val="1"/>
      <w:numFmt w:val="bullet"/>
      <w:lvlText w:val="o"/>
      <w:lvlJc w:val="left"/>
      <w:pPr>
        <w:ind w:left="5117" w:hanging="360"/>
      </w:pPr>
      <w:rPr>
        <w:rFonts w:ascii="Courier New" w:hAnsi="Courier New" w:cs="Courier New" w:hint="default"/>
      </w:rPr>
    </w:lvl>
    <w:lvl w:ilvl="8" w:tplc="0BFC0E10" w:tentative="1">
      <w:start w:val="1"/>
      <w:numFmt w:val="bullet"/>
      <w:lvlText w:val=""/>
      <w:lvlJc w:val="left"/>
      <w:pPr>
        <w:ind w:left="5837" w:hanging="360"/>
      </w:pPr>
      <w:rPr>
        <w:rFonts w:ascii="Wingdings" w:hAnsi="Wingdings" w:hint="default"/>
      </w:rPr>
    </w:lvl>
  </w:abstractNum>
  <w:abstractNum w:abstractNumId="2" w15:restartNumberingAfterBreak="0">
    <w:nsid w:val="3EDC34A7"/>
    <w:multiLevelType w:val="multilevel"/>
    <w:tmpl w:val="5CB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9505A"/>
    <w:multiLevelType w:val="multilevel"/>
    <w:tmpl w:val="841CC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F349DD"/>
    <w:multiLevelType w:val="multilevel"/>
    <w:tmpl w:val="EBD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22391"/>
    <w:multiLevelType w:val="hybridMultilevel"/>
    <w:tmpl w:val="7AA0CBF4"/>
    <w:lvl w:ilvl="0" w:tplc="E5DA913C">
      <w:start w:val="1"/>
      <w:numFmt w:val="bullet"/>
      <w:lvlText w:val="o"/>
      <w:lvlJc w:val="left"/>
      <w:pPr>
        <w:ind w:left="-273" w:hanging="360"/>
      </w:pPr>
      <w:rPr>
        <w:rFonts w:ascii="Courier New" w:hAnsi="Courier New" w:cs="Courier New" w:hint="default"/>
      </w:rPr>
    </w:lvl>
    <w:lvl w:ilvl="1" w:tplc="43B6F350" w:tentative="1">
      <w:start w:val="1"/>
      <w:numFmt w:val="bullet"/>
      <w:lvlText w:val="o"/>
      <w:lvlJc w:val="left"/>
      <w:pPr>
        <w:ind w:left="447" w:hanging="360"/>
      </w:pPr>
      <w:rPr>
        <w:rFonts w:ascii="Courier New" w:hAnsi="Courier New" w:cs="Courier New" w:hint="default"/>
      </w:rPr>
    </w:lvl>
    <w:lvl w:ilvl="2" w:tplc="C7083046" w:tentative="1">
      <w:start w:val="1"/>
      <w:numFmt w:val="bullet"/>
      <w:lvlText w:val=""/>
      <w:lvlJc w:val="left"/>
      <w:pPr>
        <w:ind w:left="1167" w:hanging="360"/>
      </w:pPr>
      <w:rPr>
        <w:rFonts w:ascii="Wingdings" w:hAnsi="Wingdings" w:hint="default"/>
      </w:rPr>
    </w:lvl>
    <w:lvl w:ilvl="3" w:tplc="703AE082" w:tentative="1">
      <w:start w:val="1"/>
      <w:numFmt w:val="bullet"/>
      <w:lvlText w:val=""/>
      <w:lvlJc w:val="left"/>
      <w:pPr>
        <w:ind w:left="1887" w:hanging="360"/>
      </w:pPr>
      <w:rPr>
        <w:rFonts w:ascii="Symbol" w:hAnsi="Symbol" w:hint="default"/>
      </w:rPr>
    </w:lvl>
    <w:lvl w:ilvl="4" w:tplc="709C976E" w:tentative="1">
      <w:start w:val="1"/>
      <w:numFmt w:val="bullet"/>
      <w:lvlText w:val="o"/>
      <w:lvlJc w:val="left"/>
      <w:pPr>
        <w:ind w:left="2607" w:hanging="360"/>
      </w:pPr>
      <w:rPr>
        <w:rFonts w:ascii="Courier New" w:hAnsi="Courier New" w:cs="Courier New" w:hint="default"/>
      </w:rPr>
    </w:lvl>
    <w:lvl w:ilvl="5" w:tplc="C19E60C4" w:tentative="1">
      <w:start w:val="1"/>
      <w:numFmt w:val="bullet"/>
      <w:lvlText w:val=""/>
      <w:lvlJc w:val="left"/>
      <w:pPr>
        <w:ind w:left="3327" w:hanging="360"/>
      </w:pPr>
      <w:rPr>
        <w:rFonts w:ascii="Wingdings" w:hAnsi="Wingdings" w:hint="default"/>
      </w:rPr>
    </w:lvl>
    <w:lvl w:ilvl="6" w:tplc="D92AC1EC" w:tentative="1">
      <w:start w:val="1"/>
      <w:numFmt w:val="bullet"/>
      <w:lvlText w:val=""/>
      <w:lvlJc w:val="left"/>
      <w:pPr>
        <w:ind w:left="4047" w:hanging="360"/>
      </w:pPr>
      <w:rPr>
        <w:rFonts w:ascii="Symbol" w:hAnsi="Symbol" w:hint="default"/>
      </w:rPr>
    </w:lvl>
    <w:lvl w:ilvl="7" w:tplc="F59269B8" w:tentative="1">
      <w:start w:val="1"/>
      <w:numFmt w:val="bullet"/>
      <w:lvlText w:val="o"/>
      <w:lvlJc w:val="left"/>
      <w:pPr>
        <w:ind w:left="4767" w:hanging="360"/>
      </w:pPr>
      <w:rPr>
        <w:rFonts w:ascii="Courier New" w:hAnsi="Courier New" w:cs="Courier New" w:hint="default"/>
      </w:rPr>
    </w:lvl>
    <w:lvl w:ilvl="8" w:tplc="12129F56" w:tentative="1">
      <w:start w:val="1"/>
      <w:numFmt w:val="bullet"/>
      <w:lvlText w:val=""/>
      <w:lvlJc w:val="left"/>
      <w:pPr>
        <w:ind w:left="5487"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45"/>
    <w:rsid w:val="00006E3B"/>
    <w:rsid w:val="000253AF"/>
    <w:rsid w:val="00041C92"/>
    <w:rsid w:val="00052385"/>
    <w:rsid w:val="00053B2C"/>
    <w:rsid w:val="000745B1"/>
    <w:rsid w:val="000C1618"/>
    <w:rsid w:val="000C5B28"/>
    <w:rsid w:val="000C6F0C"/>
    <w:rsid w:val="000E0286"/>
    <w:rsid w:val="00106D58"/>
    <w:rsid w:val="00111C24"/>
    <w:rsid w:val="00130FC5"/>
    <w:rsid w:val="0013665E"/>
    <w:rsid w:val="00140B12"/>
    <w:rsid w:val="00141A14"/>
    <w:rsid w:val="00175CE4"/>
    <w:rsid w:val="001828FA"/>
    <w:rsid w:val="00192941"/>
    <w:rsid w:val="001B0C2B"/>
    <w:rsid w:val="001C672C"/>
    <w:rsid w:val="001C6C54"/>
    <w:rsid w:val="001D149A"/>
    <w:rsid w:val="001D2917"/>
    <w:rsid w:val="001D42E3"/>
    <w:rsid w:val="001D71FA"/>
    <w:rsid w:val="001E3518"/>
    <w:rsid w:val="001E4D9F"/>
    <w:rsid w:val="00202CB4"/>
    <w:rsid w:val="0020699D"/>
    <w:rsid w:val="00225C2C"/>
    <w:rsid w:val="00230D27"/>
    <w:rsid w:val="00257C16"/>
    <w:rsid w:val="002B13BC"/>
    <w:rsid w:val="002B58C1"/>
    <w:rsid w:val="002E374D"/>
    <w:rsid w:val="002F3633"/>
    <w:rsid w:val="00305C99"/>
    <w:rsid w:val="00310E28"/>
    <w:rsid w:val="0031785E"/>
    <w:rsid w:val="00353DA2"/>
    <w:rsid w:val="003579A8"/>
    <w:rsid w:val="00373A1C"/>
    <w:rsid w:val="00377EEE"/>
    <w:rsid w:val="00380921"/>
    <w:rsid w:val="003D7EE5"/>
    <w:rsid w:val="003E6548"/>
    <w:rsid w:val="003F0145"/>
    <w:rsid w:val="00400898"/>
    <w:rsid w:val="00430721"/>
    <w:rsid w:val="00435A8E"/>
    <w:rsid w:val="004414D1"/>
    <w:rsid w:val="00451FE5"/>
    <w:rsid w:val="00464484"/>
    <w:rsid w:val="0047144C"/>
    <w:rsid w:val="00475A50"/>
    <w:rsid w:val="00482679"/>
    <w:rsid w:val="00483236"/>
    <w:rsid w:val="004C55FE"/>
    <w:rsid w:val="004E01AC"/>
    <w:rsid w:val="004E455C"/>
    <w:rsid w:val="00541446"/>
    <w:rsid w:val="00546230"/>
    <w:rsid w:val="00572E8C"/>
    <w:rsid w:val="005734F7"/>
    <w:rsid w:val="00594860"/>
    <w:rsid w:val="005D3FB3"/>
    <w:rsid w:val="005E0A3A"/>
    <w:rsid w:val="005E0EFF"/>
    <w:rsid w:val="005E12A8"/>
    <w:rsid w:val="005E6207"/>
    <w:rsid w:val="00691B95"/>
    <w:rsid w:val="00692D6B"/>
    <w:rsid w:val="0069435E"/>
    <w:rsid w:val="00696C4B"/>
    <w:rsid w:val="006A1B4E"/>
    <w:rsid w:val="006B264D"/>
    <w:rsid w:val="006C3D32"/>
    <w:rsid w:val="006E66A9"/>
    <w:rsid w:val="006F424E"/>
    <w:rsid w:val="007049C4"/>
    <w:rsid w:val="00715E45"/>
    <w:rsid w:val="00746EEC"/>
    <w:rsid w:val="0076000F"/>
    <w:rsid w:val="007803BA"/>
    <w:rsid w:val="007820A7"/>
    <w:rsid w:val="00793CBF"/>
    <w:rsid w:val="007B73AB"/>
    <w:rsid w:val="007D2082"/>
    <w:rsid w:val="007E1693"/>
    <w:rsid w:val="007E4329"/>
    <w:rsid w:val="007F283B"/>
    <w:rsid w:val="0081355B"/>
    <w:rsid w:val="00847AB8"/>
    <w:rsid w:val="00873FB2"/>
    <w:rsid w:val="0087615B"/>
    <w:rsid w:val="00876E86"/>
    <w:rsid w:val="008858CB"/>
    <w:rsid w:val="00891F10"/>
    <w:rsid w:val="008939C4"/>
    <w:rsid w:val="008A3254"/>
    <w:rsid w:val="008A337A"/>
    <w:rsid w:val="008B1FD1"/>
    <w:rsid w:val="008E067A"/>
    <w:rsid w:val="008E2B9B"/>
    <w:rsid w:val="008F3AA2"/>
    <w:rsid w:val="008F4372"/>
    <w:rsid w:val="0090023F"/>
    <w:rsid w:val="00901E2C"/>
    <w:rsid w:val="00924C60"/>
    <w:rsid w:val="009270DC"/>
    <w:rsid w:val="00950A4D"/>
    <w:rsid w:val="00964C40"/>
    <w:rsid w:val="00973E6E"/>
    <w:rsid w:val="009A3128"/>
    <w:rsid w:val="009E5FDE"/>
    <w:rsid w:val="00A33952"/>
    <w:rsid w:val="00A46A90"/>
    <w:rsid w:val="00A620A3"/>
    <w:rsid w:val="00A95A9F"/>
    <w:rsid w:val="00AC67D3"/>
    <w:rsid w:val="00B01D1D"/>
    <w:rsid w:val="00B127DB"/>
    <w:rsid w:val="00B37E44"/>
    <w:rsid w:val="00B443F3"/>
    <w:rsid w:val="00B50790"/>
    <w:rsid w:val="00B6581A"/>
    <w:rsid w:val="00B96B8D"/>
    <w:rsid w:val="00BF196C"/>
    <w:rsid w:val="00C45EB6"/>
    <w:rsid w:val="00C5000A"/>
    <w:rsid w:val="00C50924"/>
    <w:rsid w:val="00C62933"/>
    <w:rsid w:val="00C8464B"/>
    <w:rsid w:val="00C87C5B"/>
    <w:rsid w:val="00C96F18"/>
    <w:rsid w:val="00CA4608"/>
    <w:rsid w:val="00CB02F1"/>
    <w:rsid w:val="00CB6198"/>
    <w:rsid w:val="00CC25A5"/>
    <w:rsid w:val="00CF6C14"/>
    <w:rsid w:val="00D20196"/>
    <w:rsid w:val="00D30C44"/>
    <w:rsid w:val="00D35A26"/>
    <w:rsid w:val="00D45E74"/>
    <w:rsid w:val="00D478C6"/>
    <w:rsid w:val="00D479D2"/>
    <w:rsid w:val="00D8171D"/>
    <w:rsid w:val="00D830AD"/>
    <w:rsid w:val="00D83C48"/>
    <w:rsid w:val="00D85FDC"/>
    <w:rsid w:val="00DA3CE3"/>
    <w:rsid w:val="00DA789B"/>
    <w:rsid w:val="00DB15D1"/>
    <w:rsid w:val="00DC7AF5"/>
    <w:rsid w:val="00DF2C0D"/>
    <w:rsid w:val="00E10072"/>
    <w:rsid w:val="00E20E96"/>
    <w:rsid w:val="00E21F32"/>
    <w:rsid w:val="00E26E29"/>
    <w:rsid w:val="00E33583"/>
    <w:rsid w:val="00E55ED6"/>
    <w:rsid w:val="00E61A37"/>
    <w:rsid w:val="00E6432E"/>
    <w:rsid w:val="00E67B76"/>
    <w:rsid w:val="00E7011B"/>
    <w:rsid w:val="00E762A3"/>
    <w:rsid w:val="00E926AD"/>
    <w:rsid w:val="00EA2040"/>
    <w:rsid w:val="00EB0412"/>
    <w:rsid w:val="00EB52E4"/>
    <w:rsid w:val="00EC2D50"/>
    <w:rsid w:val="00EC31FF"/>
    <w:rsid w:val="00EE17C4"/>
    <w:rsid w:val="00EF3B06"/>
    <w:rsid w:val="00F0156A"/>
    <w:rsid w:val="00F01ACD"/>
    <w:rsid w:val="00F33251"/>
    <w:rsid w:val="00F603E4"/>
    <w:rsid w:val="00F80A88"/>
    <w:rsid w:val="00F83B68"/>
    <w:rsid w:val="00F93B2C"/>
    <w:rsid w:val="00FA51BF"/>
    <w:rsid w:val="00FA7378"/>
    <w:rsid w:val="00FC2C5A"/>
    <w:rsid w:val="00FF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CF5C"/>
  <w15:docId w15:val="{0988F899-CA0B-4F56-8385-98E0CCAF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11B"/>
  </w:style>
  <w:style w:type="paragraph" w:styleId="2">
    <w:name w:val="heading 2"/>
    <w:basedOn w:val="a"/>
    <w:link w:val="20"/>
    <w:uiPriority w:val="9"/>
    <w:qFormat/>
    <w:rsid w:val="00CC2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5E45"/>
  </w:style>
  <w:style w:type="paragraph" w:styleId="a5">
    <w:name w:val="footer"/>
    <w:basedOn w:val="a"/>
    <w:link w:val="a6"/>
    <w:uiPriority w:val="99"/>
    <w:unhideWhenUsed/>
    <w:rsid w:val="00715E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E45"/>
  </w:style>
  <w:style w:type="character" w:customStyle="1" w:styleId="20">
    <w:name w:val="Заголовок 2 Знак"/>
    <w:basedOn w:val="a0"/>
    <w:link w:val="2"/>
    <w:uiPriority w:val="9"/>
    <w:rsid w:val="00CC25A5"/>
    <w:rPr>
      <w:rFonts w:ascii="Times New Roman" w:eastAsia="Times New Roman" w:hAnsi="Times New Roman" w:cs="Times New Roman"/>
      <w:b/>
      <w:bCs/>
      <w:sz w:val="36"/>
      <w:szCs w:val="36"/>
    </w:rPr>
  </w:style>
  <w:style w:type="paragraph" w:styleId="a7">
    <w:name w:val="Normal (Web)"/>
    <w:basedOn w:val="a"/>
    <w:uiPriority w:val="99"/>
    <w:semiHidden/>
    <w:unhideWhenUsed/>
    <w:rsid w:val="00CC2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25A5"/>
  </w:style>
  <w:style w:type="character" w:styleId="a8">
    <w:name w:val="Strong"/>
    <w:basedOn w:val="a0"/>
    <w:uiPriority w:val="22"/>
    <w:qFormat/>
    <w:rsid w:val="00CC25A5"/>
    <w:rPr>
      <w:b/>
      <w:bCs/>
    </w:rPr>
  </w:style>
  <w:style w:type="table" w:styleId="a9">
    <w:name w:val="Table Grid"/>
    <w:basedOn w:val="a1"/>
    <w:uiPriority w:val="59"/>
    <w:rsid w:val="00B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27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7DB"/>
    <w:rPr>
      <w:rFonts w:ascii="Tahoma" w:hAnsi="Tahoma" w:cs="Tahoma"/>
      <w:sz w:val="16"/>
      <w:szCs w:val="16"/>
    </w:rPr>
  </w:style>
  <w:style w:type="paragraph" w:styleId="ac">
    <w:name w:val="footnote text"/>
    <w:basedOn w:val="a"/>
    <w:link w:val="ad"/>
    <w:uiPriority w:val="99"/>
    <w:semiHidden/>
    <w:unhideWhenUsed/>
    <w:rsid w:val="00891F10"/>
    <w:pPr>
      <w:spacing w:after="0" w:line="240" w:lineRule="auto"/>
    </w:pPr>
    <w:rPr>
      <w:sz w:val="20"/>
      <w:szCs w:val="20"/>
    </w:rPr>
  </w:style>
  <w:style w:type="character" w:customStyle="1" w:styleId="ad">
    <w:name w:val="Текст сноски Знак"/>
    <w:basedOn w:val="a0"/>
    <w:link w:val="ac"/>
    <w:uiPriority w:val="99"/>
    <w:semiHidden/>
    <w:rsid w:val="00891F10"/>
    <w:rPr>
      <w:sz w:val="20"/>
      <w:szCs w:val="20"/>
    </w:rPr>
  </w:style>
  <w:style w:type="character" w:styleId="ae">
    <w:name w:val="footnote reference"/>
    <w:basedOn w:val="a0"/>
    <w:uiPriority w:val="99"/>
    <w:semiHidden/>
    <w:unhideWhenUsed/>
    <w:rsid w:val="00891F10"/>
    <w:rPr>
      <w:vertAlign w:val="superscript"/>
    </w:rPr>
  </w:style>
  <w:style w:type="character" w:styleId="af">
    <w:name w:val="annotation reference"/>
    <w:basedOn w:val="a0"/>
    <w:uiPriority w:val="99"/>
    <w:semiHidden/>
    <w:unhideWhenUsed/>
    <w:rsid w:val="00696C4B"/>
    <w:rPr>
      <w:sz w:val="16"/>
      <w:szCs w:val="16"/>
    </w:rPr>
  </w:style>
  <w:style w:type="paragraph" w:styleId="af0">
    <w:name w:val="annotation text"/>
    <w:basedOn w:val="a"/>
    <w:link w:val="af1"/>
    <w:uiPriority w:val="99"/>
    <w:semiHidden/>
    <w:unhideWhenUsed/>
    <w:rsid w:val="00696C4B"/>
    <w:pPr>
      <w:spacing w:line="240" w:lineRule="auto"/>
    </w:pPr>
    <w:rPr>
      <w:sz w:val="20"/>
      <w:szCs w:val="20"/>
    </w:rPr>
  </w:style>
  <w:style w:type="character" w:customStyle="1" w:styleId="af1">
    <w:name w:val="Текст примечания Знак"/>
    <w:basedOn w:val="a0"/>
    <w:link w:val="af0"/>
    <w:uiPriority w:val="99"/>
    <w:semiHidden/>
    <w:rsid w:val="00696C4B"/>
    <w:rPr>
      <w:sz w:val="20"/>
      <w:szCs w:val="20"/>
    </w:rPr>
  </w:style>
  <w:style w:type="paragraph" w:styleId="af2">
    <w:name w:val="annotation subject"/>
    <w:basedOn w:val="af0"/>
    <w:next w:val="af0"/>
    <w:link w:val="af3"/>
    <w:uiPriority w:val="99"/>
    <w:semiHidden/>
    <w:unhideWhenUsed/>
    <w:rsid w:val="00696C4B"/>
    <w:rPr>
      <w:b/>
      <w:bCs/>
    </w:rPr>
  </w:style>
  <w:style w:type="character" w:customStyle="1" w:styleId="af3">
    <w:name w:val="Тема примечания Знак"/>
    <w:basedOn w:val="af1"/>
    <w:link w:val="af2"/>
    <w:uiPriority w:val="99"/>
    <w:semiHidden/>
    <w:rsid w:val="00696C4B"/>
    <w:rPr>
      <w:b/>
      <w:bCs/>
      <w:sz w:val="20"/>
      <w:szCs w:val="20"/>
    </w:rPr>
  </w:style>
  <w:style w:type="character" w:styleId="af4">
    <w:name w:val="Hyperlink"/>
    <w:basedOn w:val="a0"/>
    <w:uiPriority w:val="99"/>
    <w:unhideWhenUsed/>
    <w:rsid w:val="007E4329"/>
    <w:rPr>
      <w:color w:val="0000FF" w:themeColor="hyperlink"/>
      <w:u w:val="single"/>
    </w:rPr>
  </w:style>
  <w:style w:type="character" w:customStyle="1" w:styleId="tlid-translation">
    <w:name w:val="tlid-translation"/>
    <w:basedOn w:val="a0"/>
    <w:rsid w:val="00572E8C"/>
  </w:style>
  <w:style w:type="paragraph" w:styleId="af5">
    <w:name w:val="List Paragraph"/>
    <w:basedOn w:val="a"/>
    <w:uiPriority w:val="34"/>
    <w:qFormat/>
    <w:rsid w:val="00EC3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DA">
      <a:majorFont>
        <a:latin typeface="Segoe UI"/>
        <a:ea typeface=""/>
        <a:cs typeface=""/>
      </a:majorFont>
      <a:minorFont>
        <a:latin typeface="Segoe U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842CE9C935F8A4AB91FEA07F36D4ECA" ma:contentTypeVersion="4" ma:contentTypeDescription="Создание документа." ma:contentTypeScope="" ma:versionID="915e9238198cedc1af9939905a3f76b1">
  <xsd:schema xmlns:xsd="http://www.w3.org/2001/XMLSchema" xmlns:xs="http://www.w3.org/2001/XMLSchema" xmlns:p="http://schemas.microsoft.com/office/2006/metadata/properties" xmlns:ns2="23bc4702-0596-46a3-bf03-2018a2ae7fb3" targetNamespace="http://schemas.microsoft.com/office/2006/metadata/properties" ma:root="true" ma:fieldsID="f5c6d288dc0e71fe668c571a6e792ecd" ns2:_="">
    <xsd:import namespace="23bc4702-0596-46a3-bf03-2018a2ae7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c4702-0596-46a3-bf03-2018a2ae7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8F45E-E090-4F0C-8946-253F87EB9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A94C5-A17C-446A-A311-712394748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c4702-0596-46a3-bf03-2018a2ae7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170CD-1A9D-4BB7-9799-3753AE04CE55}">
  <ds:schemaRefs>
    <ds:schemaRef ds:uri="http://schemas.openxmlformats.org/officeDocument/2006/bibliography"/>
  </ds:schemaRefs>
</ds:datastoreItem>
</file>

<file path=customXml/itemProps4.xml><?xml version="1.0" encoding="utf-8"?>
<ds:datastoreItem xmlns:ds="http://schemas.openxmlformats.org/officeDocument/2006/customXml" ds:itemID="{8F9C88EB-002E-4E07-ABA1-20F49F743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553</Words>
  <Characters>3154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tshimicheva</dc:creator>
  <cp:lastModifiedBy>Natalia Mushkaterova</cp:lastModifiedBy>
  <cp:revision>7</cp:revision>
  <cp:lastPrinted>2018-07-19T12:28:00Z</cp:lastPrinted>
  <dcterms:created xsi:type="dcterms:W3CDTF">2021-06-23T13:51:00Z</dcterms:created>
  <dcterms:modified xsi:type="dcterms:W3CDTF">2021-06-29T08:47:00Z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0x0101002842CE9C935F8A4AB91FEA07F36D4ECA</vt:lpwstr>
  </property>
</Properties>
</file>